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7A" w:rsidRDefault="005C047A">
      <w:pPr>
        <w:pStyle w:val="BodyText"/>
        <w:spacing w:before="9"/>
        <w:rPr>
          <w:rFonts w:ascii="Times New Roman"/>
          <w:sz w:val="9"/>
        </w:rPr>
      </w:pPr>
      <w:bookmarkStart w:id="0" w:name="_GoBack"/>
      <w:bookmarkEnd w:id="0"/>
    </w:p>
    <w:p w:rsidR="005C047A" w:rsidRDefault="000024D0">
      <w:pPr>
        <w:spacing w:before="84" w:after="13"/>
        <w:ind w:left="1763"/>
        <w:jc w:val="center"/>
        <w:rPr>
          <w:rFonts w:ascii="Lucida Sans Unicode"/>
          <w:sz w:val="28"/>
        </w:rPr>
      </w:pPr>
      <w:r>
        <w:rPr>
          <w:noProof/>
        </w:rPr>
        <w:drawing>
          <wp:anchor distT="0" distB="0" distL="0" distR="0" simplePos="0" relativeHeight="1048" behindDoc="0" locked="0" layoutInCell="1" allowOverlap="1">
            <wp:simplePos x="0" y="0"/>
            <wp:positionH relativeFrom="page">
              <wp:posOffset>537209</wp:posOffset>
            </wp:positionH>
            <wp:positionV relativeFrom="paragraph">
              <wp:posOffset>-77425</wp:posOffset>
            </wp:positionV>
            <wp:extent cx="1174115" cy="11715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74115" cy="1171575"/>
                    </a:xfrm>
                    <a:prstGeom prst="rect">
                      <a:avLst/>
                    </a:prstGeom>
                  </pic:spPr>
                </pic:pic>
              </a:graphicData>
            </a:graphic>
          </wp:anchor>
        </w:drawing>
      </w:r>
      <w:r>
        <w:rPr>
          <w:rFonts w:ascii="Lucida Sans Unicode"/>
          <w:color w:val="C00000"/>
          <w:w w:val="110"/>
          <w:sz w:val="28"/>
        </w:rPr>
        <w:t>U</w:t>
      </w:r>
      <w:r>
        <w:rPr>
          <w:rFonts w:ascii="Lucida Sans Unicode"/>
          <w:w w:val="110"/>
          <w:sz w:val="28"/>
        </w:rPr>
        <w:t xml:space="preserve">nited </w:t>
      </w:r>
      <w:r>
        <w:rPr>
          <w:rFonts w:ascii="Lucida Sans Unicode"/>
          <w:color w:val="C00000"/>
          <w:w w:val="110"/>
          <w:sz w:val="28"/>
        </w:rPr>
        <w:t>S</w:t>
      </w:r>
      <w:r>
        <w:rPr>
          <w:rFonts w:ascii="Lucida Sans Unicode"/>
          <w:w w:val="110"/>
          <w:sz w:val="28"/>
        </w:rPr>
        <w:t xml:space="preserve">outh and </w:t>
      </w:r>
      <w:r>
        <w:rPr>
          <w:rFonts w:ascii="Lucida Sans Unicode"/>
          <w:color w:val="C00000"/>
          <w:w w:val="110"/>
          <w:sz w:val="28"/>
        </w:rPr>
        <w:t>E</w:t>
      </w:r>
      <w:r>
        <w:rPr>
          <w:rFonts w:ascii="Lucida Sans Unicode"/>
          <w:w w:val="110"/>
          <w:sz w:val="28"/>
        </w:rPr>
        <w:t xml:space="preserve">astern </w:t>
      </w:r>
      <w:r>
        <w:rPr>
          <w:rFonts w:ascii="Lucida Sans Unicode"/>
          <w:color w:val="C00000"/>
          <w:w w:val="110"/>
          <w:sz w:val="28"/>
        </w:rPr>
        <w:t>T</w:t>
      </w:r>
      <w:r>
        <w:rPr>
          <w:rFonts w:ascii="Lucida Sans Unicode"/>
          <w:w w:val="110"/>
          <w:sz w:val="28"/>
        </w:rPr>
        <w:t>ribes, Inc.</w:t>
      </w:r>
    </w:p>
    <w:p w:rsidR="005C047A" w:rsidRDefault="00CB0187">
      <w:pPr>
        <w:pStyle w:val="BodyText"/>
        <w:spacing w:line="45" w:lineRule="exact"/>
        <w:ind w:left="2261"/>
        <w:rPr>
          <w:rFonts w:ascii="Lucida Sans Unicode"/>
          <w:sz w:val="4"/>
        </w:rPr>
      </w:pPr>
      <w:r>
        <w:rPr>
          <w:rFonts w:ascii="Lucida Sans Unicode"/>
          <w:noProof/>
          <w:sz w:val="4"/>
        </w:rPr>
        <mc:AlternateContent>
          <mc:Choice Requires="wpg">
            <w:drawing>
              <wp:inline distT="0" distB="0" distL="0" distR="0">
                <wp:extent cx="4783455" cy="28575"/>
                <wp:effectExtent l="1270" t="7620" r="6350" b="1905"/>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28575"/>
                          <a:chOff x="0" y="0"/>
                          <a:chExt cx="7533" cy="45"/>
                        </a:xfrm>
                      </wpg:grpSpPr>
                      <wps:wsp>
                        <wps:cNvPr id="4" name="Line 11"/>
                        <wps:cNvCnPr>
                          <a:cxnSpLocks noChangeShapeType="1"/>
                        </wps:cNvCnPr>
                        <wps:spPr bwMode="auto">
                          <a:xfrm>
                            <a:off x="23" y="23"/>
                            <a:ext cx="7488" cy="0"/>
                          </a:xfrm>
                          <a:prstGeom prst="line">
                            <a:avLst/>
                          </a:prstGeom>
                          <a:noFill/>
                          <a:ln w="28575">
                            <a:solidFill>
                              <a:srgbClr val="C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D8D613" id="Group 10" o:spid="_x0000_s1026" style="width:376.65pt;height:2.25pt;mso-position-horizontal-relative:char;mso-position-vertical-relative:line" coordsize="75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">
                <v:line id="Line 11" o:spid="_x0000_s1027" style="position:absolute;visibility:visible;mso-wrap-style:square" from="23,23" to="75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3Ob8AAADaAAAADwAAAGRycy9kb3ducmV2LnhtbESPS2sCMRSF94L/IVzBnWZGZJCpUVQQ&#10;unGhLV1fkzsPnNwMk1TjvzeFgsvDeXyc9TbaTtxp8K1jBfk8A0GsnWm5VvD9dZytQPiAbLBzTAqe&#10;5GG7GY/WWBr34DPdL6EWaYR9iQqaEPpSSq8bsujnridOXuUGiyHJoZZmwEcat51cZFkhLbacCA32&#10;dGhI3y6/NkF0LHbVz1FfF9ccT/keb7EqlJpO4u4DRKAY3uH/9qdRsIS/K+kGyM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kP3Ob8AAADaAAAADwAAAAAAAAAAAAAAAACh&#10;AgAAZHJzL2Rvd25yZXYueG1sUEsFBgAAAAAEAAQA+QAAAI0DAAAAAA==&#10;" strokecolor="#c00000" strokeweight="2.25pt"/>
                <w10:anchorlock/>
              </v:group>
            </w:pict>
          </mc:Fallback>
        </mc:AlternateContent>
      </w:r>
    </w:p>
    <w:p w:rsidR="005C047A" w:rsidRDefault="000024D0">
      <w:pPr>
        <w:tabs>
          <w:tab w:val="left" w:pos="6893"/>
        </w:tabs>
        <w:spacing w:before="209"/>
        <w:ind w:left="3016"/>
        <w:rPr>
          <w:rFonts w:ascii="Tahoma"/>
          <w:b/>
          <w:sz w:val="18"/>
        </w:rPr>
      </w:pPr>
      <w:r>
        <w:rPr>
          <w:rFonts w:ascii="Tahoma"/>
          <w:b/>
          <w:sz w:val="18"/>
        </w:rPr>
        <w:t>Nashville,</w:t>
      </w:r>
      <w:r>
        <w:rPr>
          <w:rFonts w:ascii="Tahoma"/>
          <w:b/>
          <w:spacing w:val="-4"/>
          <w:sz w:val="18"/>
        </w:rPr>
        <w:t xml:space="preserve"> </w:t>
      </w:r>
      <w:r>
        <w:rPr>
          <w:rFonts w:ascii="Tahoma"/>
          <w:b/>
          <w:sz w:val="18"/>
        </w:rPr>
        <w:t>TN</w:t>
      </w:r>
      <w:r>
        <w:rPr>
          <w:rFonts w:ascii="Tahoma"/>
          <w:b/>
          <w:spacing w:val="-5"/>
          <w:sz w:val="18"/>
        </w:rPr>
        <w:t xml:space="preserve"> </w:t>
      </w:r>
      <w:r>
        <w:rPr>
          <w:rFonts w:ascii="Tahoma"/>
          <w:b/>
          <w:sz w:val="18"/>
        </w:rPr>
        <w:t>Office:</w:t>
      </w:r>
      <w:r>
        <w:rPr>
          <w:rFonts w:ascii="Tahoma"/>
          <w:b/>
          <w:sz w:val="18"/>
        </w:rPr>
        <w:tab/>
        <w:t>Washington, DC</w:t>
      </w:r>
      <w:r>
        <w:rPr>
          <w:rFonts w:ascii="Tahoma"/>
          <w:b/>
          <w:spacing w:val="-10"/>
          <w:sz w:val="18"/>
        </w:rPr>
        <w:t xml:space="preserve"> </w:t>
      </w:r>
      <w:r>
        <w:rPr>
          <w:rFonts w:ascii="Tahoma"/>
          <w:b/>
          <w:sz w:val="18"/>
        </w:rPr>
        <w:t>Office:</w:t>
      </w:r>
    </w:p>
    <w:p w:rsidR="005C047A" w:rsidRDefault="000024D0">
      <w:pPr>
        <w:tabs>
          <w:tab w:val="left" w:pos="5245"/>
        </w:tabs>
        <w:spacing w:before="31"/>
        <w:ind w:left="1263"/>
        <w:jc w:val="center"/>
        <w:rPr>
          <w:rFonts w:ascii="Tahoma"/>
          <w:sz w:val="18"/>
        </w:rPr>
      </w:pPr>
      <w:r>
        <w:rPr>
          <w:rFonts w:ascii="Tahoma"/>
          <w:sz w:val="18"/>
        </w:rPr>
        <w:t>711 Stewarts Ferry Pike,</w:t>
      </w:r>
      <w:r>
        <w:rPr>
          <w:rFonts w:ascii="Tahoma"/>
          <w:spacing w:val="-8"/>
          <w:sz w:val="18"/>
        </w:rPr>
        <w:t xml:space="preserve"> </w:t>
      </w:r>
      <w:r>
        <w:rPr>
          <w:rFonts w:ascii="Tahoma"/>
          <w:sz w:val="18"/>
        </w:rPr>
        <w:t>Suite</w:t>
      </w:r>
      <w:r>
        <w:rPr>
          <w:rFonts w:ascii="Tahoma"/>
          <w:spacing w:val="-4"/>
          <w:sz w:val="18"/>
        </w:rPr>
        <w:t xml:space="preserve"> </w:t>
      </w:r>
      <w:r>
        <w:rPr>
          <w:rFonts w:ascii="Tahoma"/>
          <w:sz w:val="18"/>
        </w:rPr>
        <w:t>100</w:t>
      </w:r>
      <w:r>
        <w:rPr>
          <w:rFonts w:ascii="Tahoma"/>
          <w:sz w:val="18"/>
        </w:rPr>
        <w:tab/>
        <w:t>400 North Capitol Street, Suite</w:t>
      </w:r>
      <w:r>
        <w:rPr>
          <w:rFonts w:ascii="Tahoma"/>
          <w:spacing w:val="-12"/>
          <w:sz w:val="18"/>
        </w:rPr>
        <w:t xml:space="preserve"> </w:t>
      </w:r>
      <w:r>
        <w:rPr>
          <w:rFonts w:ascii="Tahoma"/>
          <w:sz w:val="18"/>
        </w:rPr>
        <w:t>585</w:t>
      </w:r>
    </w:p>
    <w:p w:rsidR="005C047A" w:rsidRDefault="000024D0">
      <w:pPr>
        <w:tabs>
          <w:tab w:val="left" w:pos="6893"/>
        </w:tabs>
        <w:spacing w:before="32"/>
        <w:ind w:left="3088"/>
        <w:rPr>
          <w:rFonts w:ascii="Tahoma"/>
          <w:sz w:val="18"/>
        </w:rPr>
      </w:pPr>
      <w:r>
        <w:rPr>
          <w:rFonts w:ascii="Tahoma"/>
          <w:sz w:val="18"/>
        </w:rPr>
        <w:t>Nashville,</w:t>
      </w:r>
      <w:r>
        <w:rPr>
          <w:rFonts w:ascii="Tahoma"/>
          <w:spacing w:val="-2"/>
          <w:sz w:val="18"/>
        </w:rPr>
        <w:t xml:space="preserve"> </w:t>
      </w:r>
      <w:r>
        <w:rPr>
          <w:rFonts w:ascii="Tahoma"/>
          <w:sz w:val="18"/>
        </w:rPr>
        <w:t>TN</w:t>
      </w:r>
      <w:r>
        <w:rPr>
          <w:rFonts w:ascii="Tahoma"/>
          <w:spacing w:val="-2"/>
          <w:sz w:val="18"/>
        </w:rPr>
        <w:t xml:space="preserve"> </w:t>
      </w:r>
      <w:r>
        <w:rPr>
          <w:rFonts w:ascii="Tahoma"/>
          <w:sz w:val="18"/>
        </w:rPr>
        <w:t>37214</w:t>
      </w:r>
      <w:r>
        <w:rPr>
          <w:rFonts w:ascii="Tahoma"/>
          <w:sz w:val="18"/>
        </w:rPr>
        <w:tab/>
        <w:t>Washington, D.C.,</w:t>
      </w:r>
      <w:r>
        <w:rPr>
          <w:rFonts w:ascii="Tahoma"/>
          <w:spacing w:val="-8"/>
          <w:sz w:val="18"/>
        </w:rPr>
        <w:t xml:space="preserve"> </w:t>
      </w:r>
      <w:r>
        <w:rPr>
          <w:rFonts w:ascii="Tahoma"/>
          <w:sz w:val="18"/>
        </w:rPr>
        <w:t>20001</w:t>
      </w:r>
    </w:p>
    <w:p w:rsidR="005C047A" w:rsidRDefault="000024D0">
      <w:pPr>
        <w:tabs>
          <w:tab w:val="left" w:pos="5353"/>
        </w:tabs>
        <w:spacing w:before="32"/>
        <w:ind w:left="1305"/>
        <w:jc w:val="center"/>
        <w:rPr>
          <w:rFonts w:ascii="Tahoma"/>
          <w:sz w:val="18"/>
        </w:rPr>
      </w:pPr>
      <w:r>
        <w:rPr>
          <w:rFonts w:ascii="Tahoma"/>
          <w:sz w:val="18"/>
        </w:rPr>
        <w:t>Phone:</w:t>
      </w:r>
      <w:r>
        <w:rPr>
          <w:rFonts w:ascii="Tahoma"/>
          <w:spacing w:val="-1"/>
          <w:sz w:val="18"/>
        </w:rPr>
        <w:t xml:space="preserve"> </w:t>
      </w:r>
      <w:r>
        <w:rPr>
          <w:rFonts w:ascii="Tahoma"/>
          <w:sz w:val="18"/>
        </w:rPr>
        <w:t>(615)</w:t>
      </w:r>
      <w:r>
        <w:rPr>
          <w:rFonts w:ascii="Tahoma"/>
          <w:spacing w:val="-2"/>
          <w:sz w:val="18"/>
        </w:rPr>
        <w:t xml:space="preserve"> </w:t>
      </w:r>
      <w:r>
        <w:rPr>
          <w:rFonts w:ascii="Tahoma"/>
          <w:sz w:val="18"/>
        </w:rPr>
        <w:t>872-7900</w:t>
      </w:r>
      <w:r>
        <w:rPr>
          <w:rFonts w:ascii="Tahoma"/>
          <w:sz w:val="18"/>
        </w:rPr>
        <w:tab/>
        <w:t>Phone: (202)</w:t>
      </w:r>
      <w:r>
        <w:rPr>
          <w:rFonts w:ascii="Tahoma"/>
          <w:spacing w:val="-1"/>
          <w:sz w:val="18"/>
        </w:rPr>
        <w:t xml:space="preserve"> </w:t>
      </w:r>
      <w:r>
        <w:rPr>
          <w:rFonts w:ascii="Tahoma"/>
          <w:sz w:val="18"/>
        </w:rPr>
        <w:t>624-3550</w:t>
      </w:r>
    </w:p>
    <w:p w:rsidR="005C047A" w:rsidRDefault="000024D0">
      <w:pPr>
        <w:tabs>
          <w:tab w:val="left" w:pos="7092"/>
        </w:tabs>
        <w:spacing w:before="32"/>
        <w:ind w:left="3030"/>
        <w:rPr>
          <w:rFonts w:ascii="Tahoma"/>
          <w:sz w:val="18"/>
        </w:rPr>
      </w:pPr>
      <w:r>
        <w:rPr>
          <w:rFonts w:ascii="Tahoma"/>
          <w:sz w:val="18"/>
        </w:rPr>
        <w:t>Fax:</w:t>
      </w:r>
      <w:r>
        <w:rPr>
          <w:rFonts w:ascii="Tahoma"/>
          <w:spacing w:val="-1"/>
          <w:sz w:val="18"/>
        </w:rPr>
        <w:t xml:space="preserve"> </w:t>
      </w:r>
      <w:r>
        <w:rPr>
          <w:rFonts w:ascii="Tahoma"/>
          <w:sz w:val="18"/>
        </w:rPr>
        <w:t>(615)</w:t>
      </w:r>
      <w:r>
        <w:rPr>
          <w:rFonts w:ascii="Tahoma"/>
          <w:spacing w:val="-1"/>
          <w:sz w:val="18"/>
        </w:rPr>
        <w:t xml:space="preserve"> </w:t>
      </w:r>
      <w:r>
        <w:rPr>
          <w:rFonts w:ascii="Tahoma"/>
          <w:sz w:val="18"/>
        </w:rPr>
        <w:t>872-7417</w:t>
      </w:r>
      <w:r>
        <w:rPr>
          <w:rFonts w:ascii="Tahoma"/>
          <w:sz w:val="18"/>
        </w:rPr>
        <w:tab/>
        <w:t>Fax: (202)</w:t>
      </w:r>
      <w:r>
        <w:rPr>
          <w:rFonts w:ascii="Tahoma"/>
          <w:spacing w:val="-3"/>
          <w:sz w:val="18"/>
        </w:rPr>
        <w:t xml:space="preserve"> </w:t>
      </w:r>
      <w:r>
        <w:rPr>
          <w:rFonts w:ascii="Tahoma"/>
          <w:sz w:val="18"/>
        </w:rPr>
        <w:t>393-5218</w:t>
      </w:r>
    </w:p>
    <w:p w:rsidR="005C047A" w:rsidRDefault="005C047A">
      <w:pPr>
        <w:pStyle w:val="BodyText"/>
        <w:spacing w:before="1"/>
        <w:rPr>
          <w:rFonts w:ascii="Tahoma"/>
          <w:sz w:val="16"/>
        </w:rPr>
      </w:pPr>
    </w:p>
    <w:p w:rsidR="005C047A" w:rsidRDefault="000024D0">
      <w:pPr>
        <w:pStyle w:val="Heading1"/>
        <w:ind w:left="324"/>
      </w:pPr>
      <w:r>
        <w:rPr>
          <w:u w:val="single"/>
        </w:rPr>
        <w:t>USET Resolution No. 201</w:t>
      </w:r>
      <w:r w:rsidR="002861C4">
        <w:rPr>
          <w:u w:val="single"/>
        </w:rPr>
        <w:t>7</w:t>
      </w:r>
      <w:r>
        <w:rPr>
          <w:u w:val="single"/>
        </w:rPr>
        <w:t>:</w:t>
      </w:r>
      <w:r w:rsidR="002861C4">
        <w:rPr>
          <w:u w:val="single"/>
        </w:rPr>
        <w:t>____</w:t>
      </w:r>
    </w:p>
    <w:p w:rsidR="005C047A" w:rsidRDefault="005C047A">
      <w:pPr>
        <w:pStyle w:val="BodyText"/>
        <w:spacing w:before="4"/>
        <w:rPr>
          <w:b/>
          <w:sz w:val="15"/>
        </w:rPr>
      </w:pPr>
    </w:p>
    <w:p w:rsidR="005C047A" w:rsidRDefault="000024D0" w:rsidP="002861C4">
      <w:pPr>
        <w:spacing w:before="100" w:line="274" w:lineRule="exact"/>
        <w:ind w:left="315"/>
        <w:jc w:val="center"/>
        <w:rPr>
          <w:b/>
          <w:sz w:val="24"/>
        </w:rPr>
      </w:pPr>
      <w:r>
        <w:rPr>
          <w:b/>
          <w:sz w:val="24"/>
        </w:rPr>
        <w:t xml:space="preserve">SUPPORT FOR </w:t>
      </w:r>
      <w:r w:rsidR="002861C4">
        <w:rPr>
          <w:b/>
          <w:sz w:val="24"/>
        </w:rPr>
        <w:t xml:space="preserve">THE ASSERTION OF </w:t>
      </w:r>
      <w:r>
        <w:rPr>
          <w:b/>
          <w:sz w:val="24"/>
        </w:rPr>
        <w:t xml:space="preserve">TRIBAL SOVEREIGNTY </w:t>
      </w:r>
      <w:r w:rsidR="002861C4">
        <w:rPr>
          <w:b/>
          <w:sz w:val="24"/>
        </w:rPr>
        <w:t>AND SELF-DETERMINATION</w:t>
      </w:r>
    </w:p>
    <w:p w:rsidR="002861C4" w:rsidRDefault="002861C4" w:rsidP="002861C4">
      <w:pPr>
        <w:spacing w:before="100" w:line="274" w:lineRule="exact"/>
        <w:ind w:left="315"/>
        <w:jc w:val="center"/>
        <w:rPr>
          <w:b/>
          <w:sz w:val="24"/>
        </w:rPr>
      </w:pPr>
      <w:r>
        <w:rPr>
          <w:b/>
          <w:sz w:val="24"/>
        </w:rPr>
        <w:t>IN ECONOMIC DEVELOPMENT MATTERS</w:t>
      </w:r>
    </w:p>
    <w:p w:rsidR="005C047A" w:rsidRDefault="005C047A">
      <w:pPr>
        <w:pStyle w:val="BodyText"/>
        <w:spacing w:before="1"/>
        <w:rPr>
          <w:b/>
        </w:rPr>
      </w:pPr>
    </w:p>
    <w:p w:rsidR="005C047A" w:rsidRDefault="000024D0">
      <w:pPr>
        <w:pStyle w:val="BodyText"/>
        <w:tabs>
          <w:tab w:val="left" w:pos="1852"/>
        </w:tabs>
        <w:ind w:left="1852" w:right="213" w:hanging="1441"/>
      </w:pPr>
      <w:r>
        <w:rPr>
          <w:b/>
        </w:rPr>
        <w:t>WHEREAS,</w:t>
      </w:r>
      <w:r>
        <w:rPr>
          <w:b/>
        </w:rPr>
        <w:tab/>
      </w:r>
      <w:r>
        <w:t>United South and Eastern Tribes Incorporated (USET) is an intertribal organization</w:t>
      </w:r>
      <w:r>
        <w:rPr>
          <w:spacing w:val="-35"/>
        </w:rPr>
        <w:t xml:space="preserve"> </w:t>
      </w:r>
      <w:r>
        <w:t>comprised</w:t>
      </w:r>
      <w:r>
        <w:rPr>
          <w:spacing w:val="-3"/>
        </w:rPr>
        <w:t xml:space="preserve"> </w:t>
      </w:r>
      <w:r w:rsidR="002861C4">
        <w:t>of twenty-seven</w:t>
      </w:r>
      <w:r>
        <w:t xml:space="preserve"> (2</w:t>
      </w:r>
      <w:r w:rsidR="002861C4">
        <w:t>7</w:t>
      </w:r>
      <w:r>
        <w:t>) federally recognized Tribes;</w:t>
      </w:r>
      <w:r>
        <w:rPr>
          <w:spacing w:val="-22"/>
        </w:rPr>
        <w:t xml:space="preserve"> </w:t>
      </w:r>
      <w:r>
        <w:t>and</w:t>
      </w:r>
    </w:p>
    <w:p w:rsidR="005C047A" w:rsidRDefault="005C047A">
      <w:pPr>
        <w:pStyle w:val="BodyText"/>
        <w:spacing w:before="1"/>
      </w:pPr>
    </w:p>
    <w:p w:rsidR="005C047A" w:rsidRDefault="000024D0">
      <w:pPr>
        <w:pStyle w:val="BodyText"/>
        <w:tabs>
          <w:tab w:val="left" w:pos="1852"/>
        </w:tabs>
        <w:ind w:left="1852" w:right="725" w:hanging="1441"/>
      </w:pPr>
      <w:r>
        <w:rPr>
          <w:b/>
        </w:rPr>
        <w:t>WHEREAS,</w:t>
      </w:r>
      <w:r>
        <w:rPr>
          <w:b/>
        </w:rPr>
        <w:tab/>
      </w:r>
      <w:r>
        <w:t>the</w:t>
      </w:r>
      <w:r>
        <w:rPr>
          <w:spacing w:val="-5"/>
        </w:rPr>
        <w:t xml:space="preserve"> </w:t>
      </w:r>
      <w:r>
        <w:t>actions</w:t>
      </w:r>
      <w:r>
        <w:rPr>
          <w:spacing w:val="-5"/>
        </w:rPr>
        <w:t xml:space="preserve"> </w:t>
      </w:r>
      <w:r>
        <w:t>taken</w:t>
      </w:r>
      <w:r>
        <w:rPr>
          <w:spacing w:val="-3"/>
        </w:rPr>
        <w:t xml:space="preserve"> </w:t>
      </w:r>
      <w:r>
        <w:t>by</w:t>
      </w:r>
      <w:r>
        <w:rPr>
          <w:spacing w:val="-6"/>
        </w:rPr>
        <w:t xml:space="preserve"> </w:t>
      </w:r>
      <w:r>
        <w:t>the</w:t>
      </w:r>
      <w:r>
        <w:rPr>
          <w:spacing w:val="-3"/>
        </w:rPr>
        <w:t xml:space="preserve"> </w:t>
      </w:r>
      <w:r>
        <w:t>USET</w:t>
      </w:r>
      <w:r>
        <w:rPr>
          <w:spacing w:val="-3"/>
        </w:rPr>
        <w:t xml:space="preserve"> </w:t>
      </w:r>
      <w:r>
        <w:t>Board</w:t>
      </w:r>
      <w:r>
        <w:rPr>
          <w:spacing w:val="-3"/>
        </w:rPr>
        <w:t xml:space="preserve"> </w:t>
      </w:r>
      <w:r>
        <w:t>of</w:t>
      </w:r>
      <w:r>
        <w:rPr>
          <w:spacing w:val="-5"/>
        </w:rPr>
        <w:t xml:space="preserve"> </w:t>
      </w:r>
      <w:r>
        <w:t>Directors</w:t>
      </w:r>
      <w:r>
        <w:rPr>
          <w:spacing w:val="-4"/>
        </w:rPr>
        <w:t xml:space="preserve"> </w:t>
      </w:r>
      <w:r>
        <w:t>officially</w:t>
      </w:r>
      <w:r>
        <w:rPr>
          <w:spacing w:val="-4"/>
        </w:rPr>
        <w:t xml:space="preserve"> </w:t>
      </w:r>
      <w:r>
        <w:t>represent</w:t>
      </w:r>
      <w:r>
        <w:rPr>
          <w:spacing w:val="-3"/>
        </w:rPr>
        <w:t xml:space="preserve"> </w:t>
      </w:r>
      <w:r>
        <w:t>the</w:t>
      </w:r>
      <w:r>
        <w:rPr>
          <w:spacing w:val="-3"/>
        </w:rPr>
        <w:t xml:space="preserve"> </w:t>
      </w:r>
      <w:r>
        <w:t>intentions</w:t>
      </w:r>
      <w:r>
        <w:rPr>
          <w:spacing w:val="-6"/>
        </w:rPr>
        <w:t xml:space="preserve"> </w:t>
      </w:r>
      <w:r>
        <w:t>of</w:t>
      </w:r>
      <w:r>
        <w:rPr>
          <w:spacing w:val="-3"/>
        </w:rPr>
        <w:t xml:space="preserve"> </w:t>
      </w:r>
      <w:r>
        <w:t>each</w:t>
      </w:r>
      <w:r>
        <w:rPr>
          <w:spacing w:val="-1"/>
        </w:rPr>
        <w:t xml:space="preserve"> </w:t>
      </w:r>
      <w:r>
        <w:t>member Tribe, as the Board of Directors comprises delegates from the member Tribes’ leadership;</w:t>
      </w:r>
      <w:r>
        <w:rPr>
          <w:spacing w:val="-6"/>
        </w:rPr>
        <w:t xml:space="preserve"> </w:t>
      </w:r>
      <w:r>
        <w:t>and</w:t>
      </w:r>
    </w:p>
    <w:p w:rsidR="005C047A" w:rsidRDefault="005C047A">
      <w:pPr>
        <w:pStyle w:val="BodyText"/>
      </w:pPr>
    </w:p>
    <w:p w:rsidR="005C047A" w:rsidRDefault="000024D0">
      <w:pPr>
        <w:pStyle w:val="BodyText"/>
        <w:tabs>
          <w:tab w:val="left" w:pos="1852"/>
        </w:tabs>
        <w:ind w:left="1852" w:right="606" w:hanging="1441"/>
      </w:pPr>
      <w:r>
        <w:rPr>
          <w:b/>
        </w:rPr>
        <w:t>WHEREAS,</w:t>
      </w:r>
      <w:r>
        <w:rPr>
          <w:b/>
        </w:rPr>
        <w:tab/>
      </w:r>
      <w:r>
        <w:t>Tribal sovereignty is an inherent authority exercised by all federally-recognized</w:t>
      </w:r>
      <w:r w:rsidR="00DB29E1">
        <w:t xml:space="preserve"> Tribal Nations </w:t>
      </w:r>
      <w:r>
        <w:t>and has existed continuously since before European contact;</w:t>
      </w:r>
      <w:r>
        <w:rPr>
          <w:spacing w:val="-32"/>
        </w:rPr>
        <w:t xml:space="preserve"> </w:t>
      </w:r>
      <w:r>
        <w:t>and,</w:t>
      </w:r>
    </w:p>
    <w:p w:rsidR="005C047A" w:rsidRDefault="005C047A">
      <w:pPr>
        <w:pStyle w:val="BodyText"/>
        <w:spacing w:before="9"/>
        <w:rPr>
          <w:sz w:val="23"/>
        </w:rPr>
      </w:pPr>
    </w:p>
    <w:p w:rsidR="005C047A" w:rsidRDefault="000024D0">
      <w:pPr>
        <w:pStyle w:val="BodyText"/>
        <w:ind w:left="1852" w:right="280" w:hanging="1441"/>
        <w:jc w:val="both"/>
      </w:pPr>
      <w:r>
        <w:rPr>
          <w:b/>
        </w:rPr>
        <w:t>WHEREAS</w:t>
      </w:r>
      <w:r>
        <w:t xml:space="preserve">, </w:t>
      </w:r>
      <w:r w:rsidR="002861C4">
        <w:tab/>
      </w:r>
      <w:r>
        <w:t xml:space="preserve">the United States Constitution, U.S. Supreme Court decisions, and hundreds of treaties, federal statutes, and regulations all recognize that </w:t>
      </w:r>
      <w:r w:rsidR="00DB29E1">
        <w:t xml:space="preserve">Tribal Nations </w:t>
      </w:r>
      <w:r>
        <w:t>are distinct governments with inherent rights, powers, privileges, and authorities; and</w:t>
      </w:r>
    </w:p>
    <w:p w:rsidR="005C047A" w:rsidRDefault="005C047A">
      <w:pPr>
        <w:pStyle w:val="BodyText"/>
        <w:spacing w:before="9"/>
        <w:rPr>
          <w:sz w:val="23"/>
        </w:rPr>
      </w:pPr>
    </w:p>
    <w:p w:rsidR="005C047A" w:rsidRDefault="000024D0">
      <w:pPr>
        <w:pStyle w:val="BodyText"/>
        <w:tabs>
          <w:tab w:val="left" w:pos="1852"/>
        </w:tabs>
        <w:ind w:left="1852" w:right="489" w:hanging="1441"/>
      </w:pPr>
      <w:r>
        <w:rPr>
          <w:b/>
        </w:rPr>
        <w:t>WHEREAS</w:t>
      </w:r>
      <w:r>
        <w:t>,</w:t>
      </w:r>
      <w:r>
        <w:tab/>
      </w:r>
      <w:r w:rsidR="00DB29E1">
        <w:t xml:space="preserve">Tribal Nations </w:t>
      </w:r>
      <w:r>
        <w:t>have a unique government-to-government and trust relationship with</w:t>
      </w:r>
      <w:r>
        <w:rPr>
          <w:spacing w:val="-35"/>
        </w:rPr>
        <w:t xml:space="preserve"> </w:t>
      </w:r>
      <w:r>
        <w:t>the</w:t>
      </w:r>
      <w:r>
        <w:rPr>
          <w:spacing w:val="-3"/>
        </w:rPr>
        <w:t xml:space="preserve"> </w:t>
      </w:r>
      <w:r>
        <w:t>United States;</w:t>
      </w:r>
      <w:r>
        <w:rPr>
          <w:spacing w:val="-2"/>
        </w:rPr>
        <w:t xml:space="preserve"> </w:t>
      </w:r>
      <w:r>
        <w:t>and,</w:t>
      </w:r>
    </w:p>
    <w:p w:rsidR="005C047A" w:rsidRDefault="005C047A">
      <w:pPr>
        <w:pStyle w:val="BodyText"/>
        <w:spacing w:before="10"/>
        <w:rPr>
          <w:sz w:val="23"/>
        </w:rPr>
      </w:pPr>
    </w:p>
    <w:p w:rsidR="005C047A" w:rsidRDefault="000024D0">
      <w:pPr>
        <w:pStyle w:val="BodyText"/>
        <w:tabs>
          <w:tab w:val="left" w:pos="1852"/>
        </w:tabs>
        <w:ind w:left="1852" w:right="107" w:hanging="1441"/>
      </w:pPr>
      <w:r>
        <w:rPr>
          <w:b/>
        </w:rPr>
        <w:t>WHEREAS,</w:t>
      </w:r>
      <w:r>
        <w:rPr>
          <w:b/>
        </w:rPr>
        <w:tab/>
      </w:r>
      <w:r>
        <w:t>each</w:t>
      </w:r>
      <w:r w:rsidR="00BC0C0B">
        <w:t xml:space="preserve"> Tribal Nation</w:t>
      </w:r>
      <w:r>
        <w:rPr>
          <w:spacing w:val="-3"/>
        </w:rPr>
        <w:t xml:space="preserve"> </w:t>
      </w:r>
      <w:r>
        <w:t>who</w:t>
      </w:r>
      <w:r>
        <w:rPr>
          <w:spacing w:val="-3"/>
        </w:rPr>
        <w:t xml:space="preserve"> </w:t>
      </w:r>
      <w:r>
        <w:t>is</w:t>
      </w:r>
      <w:r>
        <w:rPr>
          <w:spacing w:val="-5"/>
        </w:rPr>
        <w:t xml:space="preserve"> </w:t>
      </w:r>
      <w:r>
        <w:t>a</w:t>
      </w:r>
      <w:r>
        <w:rPr>
          <w:spacing w:val="-5"/>
        </w:rPr>
        <w:t xml:space="preserve"> </w:t>
      </w:r>
      <w:r>
        <w:t>member</w:t>
      </w:r>
      <w:r>
        <w:rPr>
          <w:spacing w:val="-3"/>
        </w:rPr>
        <w:t xml:space="preserve"> </w:t>
      </w:r>
      <w:r>
        <w:t>of</w:t>
      </w:r>
      <w:r>
        <w:rPr>
          <w:spacing w:val="-3"/>
        </w:rPr>
        <w:t xml:space="preserve"> </w:t>
      </w:r>
      <w:r>
        <w:t>USET</w:t>
      </w:r>
      <w:r>
        <w:rPr>
          <w:spacing w:val="-3"/>
        </w:rPr>
        <w:t xml:space="preserve"> </w:t>
      </w:r>
      <w:r>
        <w:t>provides</w:t>
      </w:r>
      <w:r>
        <w:rPr>
          <w:spacing w:val="-5"/>
        </w:rPr>
        <w:t xml:space="preserve"> </w:t>
      </w:r>
      <w:r>
        <w:t>essential</w:t>
      </w:r>
      <w:r>
        <w:rPr>
          <w:spacing w:val="-4"/>
        </w:rPr>
        <w:t xml:space="preserve"> </w:t>
      </w:r>
      <w:r>
        <w:t>services</w:t>
      </w:r>
      <w:r>
        <w:rPr>
          <w:spacing w:val="-4"/>
        </w:rPr>
        <w:t xml:space="preserve"> </w:t>
      </w:r>
      <w:r>
        <w:t>to</w:t>
      </w:r>
      <w:r>
        <w:rPr>
          <w:spacing w:val="-5"/>
        </w:rPr>
        <w:t xml:space="preserve"> </w:t>
      </w:r>
      <w:r>
        <w:t>its</w:t>
      </w:r>
      <w:r>
        <w:rPr>
          <w:spacing w:val="-3"/>
        </w:rPr>
        <w:t xml:space="preserve"> </w:t>
      </w:r>
      <w:r>
        <w:t>citizens including</w:t>
      </w:r>
      <w:r>
        <w:rPr>
          <w:spacing w:val="-1"/>
        </w:rPr>
        <w:t xml:space="preserve"> </w:t>
      </w:r>
      <w:r>
        <w:t>education,</w:t>
      </w:r>
      <w:r>
        <w:rPr>
          <w:spacing w:val="-3"/>
        </w:rPr>
        <w:t xml:space="preserve"> </w:t>
      </w:r>
      <w:r>
        <w:t>housing,</w:t>
      </w:r>
      <w:r>
        <w:rPr>
          <w:spacing w:val="-3"/>
        </w:rPr>
        <w:t xml:space="preserve"> </w:t>
      </w:r>
      <w:r>
        <w:t>health</w:t>
      </w:r>
      <w:r>
        <w:rPr>
          <w:spacing w:val="-5"/>
        </w:rPr>
        <w:t xml:space="preserve"> </w:t>
      </w:r>
      <w:r>
        <w:t>care,</w:t>
      </w:r>
      <w:r>
        <w:rPr>
          <w:spacing w:val="1"/>
        </w:rPr>
        <w:t xml:space="preserve"> </w:t>
      </w:r>
      <w:r>
        <w:t>and</w:t>
      </w:r>
      <w:r>
        <w:rPr>
          <w:spacing w:val="-4"/>
        </w:rPr>
        <w:t xml:space="preserve"> </w:t>
      </w:r>
      <w:r>
        <w:t>public</w:t>
      </w:r>
      <w:r>
        <w:rPr>
          <w:spacing w:val="-4"/>
        </w:rPr>
        <w:t xml:space="preserve"> </w:t>
      </w:r>
      <w:r>
        <w:t>safety,</w:t>
      </w:r>
      <w:r>
        <w:rPr>
          <w:spacing w:val="-5"/>
        </w:rPr>
        <w:t xml:space="preserve"> </w:t>
      </w:r>
      <w:r>
        <w:t>and</w:t>
      </w:r>
      <w:r>
        <w:rPr>
          <w:spacing w:val="-3"/>
        </w:rPr>
        <w:t xml:space="preserve"> </w:t>
      </w:r>
      <w:r>
        <w:t>raises</w:t>
      </w:r>
      <w:r>
        <w:rPr>
          <w:spacing w:val="-3"/>
        </w:rPr>
        <w:t xml:space="preserve"> </w:t>
      </w:r>
      <w:r>
        <w:t>governmental</w:t>
      </w:r>
      <w:r>
        <w:rPr>
          <w:spacing w:val="-4"/>
        </w:rPr>
        <w:t xml:space="preserve"> </w:t>
      </w:r>
      <w:r>
        <w:t>revenue,</w:t>
      </w:r>
      <w:r>
        <w:rPr>
          <w:spacing w:val="-3"/>
        </w:rPr>
        <w:t xml:space="preserve"> </w:t>
      </w:r>
      <w:r>
        <w:t>much</w:t>
      </w:r>
      <w:r>
        <w:rPr>
          <w:spacing w:val="-5"/>
        </w:rPr>
        <w:t xml:space="preserve"> </w:t>
      </w:r>
      <w:r>
        <w:t>as</w:t>
      </w:r>
      <w:r>
        <w:rPr>
          <w:spacing w:val="-4"/>
        </w:rPr>
        <w:t xml:space="preserve"> </w:t>
      </w:r>
      <w:r>
        <w:t>do state governments, through the operation of enterprises and the provision of goods and services in the marketplace;</w:t>
      </w:r>
      <w:r>
        <w:rPr>
          <w:spacing w:val="-9"/>
        </w:rPr>
        <w:t xml:space="preserve"> </w:t>
      </w:r>
      <w:r>
        <w:t>and,</w:t>
      </w:r>
    </w:p>
    <w:p w:rsidR="005C047A" w:rsidRDefault="005C047A">
      <w:pPr>
        <w:pStyle w:val="BodyText"/>
        <w:spacing w:before="10"/>
        <w:rPr>
          <w:sz w:val="23"/>
        </w:rPr>
      </w:pPr>
    </w:p>
    <w:p w:rsidR="002861C4" w:rsidRDefault="002861C4" w:rsidP="00BD327B">
      <w:pPr>
        <w:tabs>
          <w:tab w:val="left" w:pos="-1440"/>
          <w:tab w:val="left" w:pos="-720"/>
          <w:tab w:val="left" w:pos="1890"/>
        </w:tabs>
        <w:ind w:left="1852" w:hanging="1402"/>
        <w:jc w:val="both"/>
      </w:pPr>
      <w:r w:rsidRPr="00BD327B">
        <w:rPr>
          <w:b/>
          <w:bCs/>
        </w:rPr>
        <w:t xml:space="preserve">WHEREAS, </w:t>
      </w:r>
      <w:r w:rsidR="00BD327B" w:rsidRPr="00BD327B">
        <w:rPr>
          <w:b/>
          <w:bCs/>
        </w:rPr>
        <w:tab/>
      </w:r>
      <w:r w:rsidR="001B63F5">
        <w:t>s</w:t>
      </w:r>
      <w:r w:rsidRPr="00BD327B">
        <w:t>overeign immunity from suit is the right of all governments in the United States, including federal, state and tribal governments.  The purpose is to provide protection against loss of assets held in common for many people for the performance of vital government functions.  The federal government has a longstanding obligation under the Constitution, treaties, and hundreds of court cases to protect tribal self-government. Any federal abrogation of tribal immunity runs sharply counter to this obligation, and would substantially interfere with tribal self-governance, and place tribal assets and funds at risk; and</w:t>
      </w:r>
    </w:p>
    <w:p w:rsidR="009B76DF" w:rsidRPr="00BD327B" w:rsidRDefault="009B76DF" w:rsidP="00BD327B">
      <w:pPr>
        <w:tabs>
          <w:tab w:val="left" w:pos="-1440"/>
          <w:tab w:val="left" w:pos="-720"/>
          <w:tab w:val="left" w:pos="1890"/>
        </w:tabs>
        <w:ind w:left="1852" w:hanging="1402"/>
        <w:jc w:val="both"/>
      </w:pPr>
    </w:p>
    <w:p w:rsidR="001F1B28" w:rsidRDefault="009B76DF" w:rsidP="001F1B28">
      <w:pPr>
        <w:tabs>
          <w:tab w:val="left" w:pos="-1440"/>
          <w:tab w:val="left" w:pos="-720"/>
          <w:tab w:val="left" w:pos="1800"/>
        </w:tabs>
        <w:ind w:left="1800" w:hanging="1350"/>
        <w:jc w:val="both"/>
        <w:rPr>
          <w:b/>
          <w:bCs/>
        </w:rPr>
      </w:pPr>
      <w:r w:rsidRPr="00EE002C">
        <w:rPr>
          <w:b/>
          <w:bCs/>
        </w:rPr>
        <w:t xml:space="preserve">WHEREAS, </w:t>
      </w:r>
      <w:r>
        <w:rPr>
          <w:b/>
          <w:bCs/>
        </w:rPr>
        <w:tab/>
      </w:r>
      <w:r>
        <w:rPr>
          <w:bCs/>
        </w:rPr>
        <w:t>In 2014, the United States Supreme Court reaffirmed the continuing validity of the broad and sweeping doctrine of tribal sovereign immunity from suit (</w:t>
      </w:r>
      <w:r w:rsidRPr="003E4543">
        <w:rPr>
          <w:bCs/>
          <w:i/>
        </w:rPr>
        <w:t>Michigan v. Bay Mills Indian Community</w:t>
      </w:r>
      <w:r>
        <w:rPr>
          <w:bCs/>
        </w:rPr>
        <w:t>, 134 S. Ct. 2024</w:t>
      </w:r>
      <w:r w:rsidR="007E680A">
        <w:rPr>
          <w:bCs/>
        </w:rPr>
        <w:t xml:space="preserve"> (2014</w:t>
      </w:r>
      <w:r>
        <w:rPr>
          <w:bCs/>
        </w:rPr>
        <w:t>)</w:t>
      </w:r>
      <w:r w:rsidR="007E680A">
        <w:rPr>
          <w:bCs/>
        </w:rPr>
        <w:t>)</w:t>
      </w:r>
      <w:r>
        <w:rPr>
          <w:bCs/>
        </w:rPr>
        <w:t>.</w:t>
      </w:r>
    </w:p>
    <w:p w:rsidR="009B76DF" w:rsidRDefault="009B76DF" w:rsidP="001F1B28">
      <w:pPr>
        <w:tabs>
          <w:tab w:val="left" w:pos="-1440"/>
          <w:tab w:val="left" w:pos="-720"/>
          <w:tab w:val="left" w:pos="1800"/>
        </w:tabs>
        <w:ind w:left="1800" w:hanging="1350"/>
        <w:jc w:val="both"/>
        <w:rPr>
          <w:b/>
          <w:bCs/>
        </w:rPr>
      </w:pPr>
    </w:p>
    <w:p w:rsidR="002861C4" w:rsidRDefault="002861C4" w:rsidP="00EE002C">
      <w:pPr>
        <w:tabs>
          <w:tab w:val="left" w:pos="-1440"/>
          <w:tab w:val="left" w:pos="-720"/>
          <w:tab w:val="left" w:pos="1800"/>
        </w:tabs>
        <w:ind w:left="1800" w:hanging="1350"/>
        <w:jc w:val="both"/>
        <w:rPr>
          <w:bCs/>
        </w:rPr>
      </w:pPr>
      <w:r w:rsidRPr="00EE002C">
        <w:rPr>
          <w:b/>
          <w:bCs/>
        </w:rPr>
        <w:t xml:space="preserve">WHEREAS, </w:t>
      </w:r>
      <w:r w:rsidR="00EE002C">
        <w:rPr>
          <w:b/>
          <w:bCs/>
        </w:rPr>
        <w:tab/>
      </w:r>
      <w:r w:rsidR="009B76DF">
        <w:rPr>
          <w:bCs/>
        </w:rPr>
        <w:t xml:space="preserve">Tribal Nations </w:t>
      </w:r>
      <w:r w:rsidRPr="00EE002C">
        <w:rPr>
          <w:bCs/>
        </w:rPr>
        <w:t xml:space="preserve">Indian tribes also have </w:t>
      </w:r>
      <w:r w:rsidR="001F1B28">
        <w:rPr>
          <w:bCs/>
        </w:rPr>
        <w:t xml:space="preserve">the inherent right to conduct economic development activities </w:t>
      </w:r>
      <w:r w:rsidR="003731FD">
        <w:rPr>
          <w:bCs/>
        </w:rPr>
        <w:t xml:space="preserve">in order to raise revenues for the benefit of the </w:t>
      </w:r>
      <w:r w:rsidR="009B76DF">
        <w:rPr>
          <w:bCs/>
        </w:rPr>
        <w:t>Tribal Nation</w:t>
      </w:r>
      <w:r w:rsidR="003731FD">
        <w:rPr>
          <w:bCs/>
        </w:rPr>
        <w:t xml:space="preserve"> and its citizens, in order to achieve the dual goals of self-determination and </w:t>
      </w:r>
      <w:r w:rsidR="00CB0187">
        <w:rPr>
          <w:bCs/>
        </w:rPr>
        <w:t>self-governance</w:t>
      </w:r>
      <w:r w:rsidRPr="00EE002C">
        <w:rPr>
          <w:bCs/>
        </w:rPr>
        <w:t>; and</w:t>
      </w:r>
    </w:p>
    <w:p w:rsidR="001F1B28" w:rsidRPr="00EE002C" w:rsidRDefault="001F1B28" w:rsidP="00EE002C">
      <w:pPr>
        <w:tabs>
          <w:tab w:val="left" w:pos="-1440"/>
          <w:tab w:val="left" w:pos="-720"/>
          <w:tab w:val="left" w:pos="1800"/>
        </w:tabs>
        <w:ind w:left="1800" w:hanging="1350"/>
        <w:jc w:val="both"/>
        <w:rPr>
          <w:b/>
          <w:bCs/>
        </w:rPr>
      </w:pPr>
    </w:p>
    <w:p w:rsidR="001F1B28" w:rsidRDefault="001F1B28" w:rsidP="001F1B28">
      <w:pPr>
        <w:tabs>
          <w:tab w:val="left" w:pos="-1440"/>
          <w:tab w:val="left" w:pos="-720"/>
          <w:tab w:val="left" w:pos="1800"/>
        </w:tabs>
        <w:ind w:left="1800" w:hanging="1350"/>
        <w:jc w:val="both"/>
        <w:rPr>
          <w:bCs/>
        </w:rPr>
      </w:pPr>
      <w:r w:rsidRPr="00EE002C">
        <w:rPr>
          <w:b/>
          <w:bCs/>
        </w:rPr>
        <w:t xml:space="preserve">WHEREAS, </w:t>
      </w:r>
      <w:r>
        <w:rPr>
          <w:b/>
          <w:bCs/>
        </w:rPr>
        <w:tab/>
      </w:r>
      <w:r w:rsidR="00CB0187">
        <w:rPr>
          <w:bCs/>
        </w:rPr>
        <w:t>i</w:t>
      </w:r>
      <w:r w:rsidR="003731FD" w:rsidRPr="003731FD">
        <w:rPr>
          <w:bCs/>
        </w:rPr>
        <w:t>n furtherance of these goals,</w:t>
      </w:r>
      <w:r w:rsidR="003731FD">
        <w:rPr>
          <w:b/>
          <w:bCs/>
        </w:rPr>
        <w:t xml:space="preserve"> </w:t>
      </w:r>
      <w:r w:rsidRPr="0082140F">
        <w:rPr>
          <w:bCs/>
        </w:rPr>
        <w:t>USET member</w:t>
      </w:r>
      <w:r>
        <w:rPr>
          <w:b/>
          <w:bCs/>
        </w:rPr>
        <w:t xml:space="preserve"> </w:t>
      </w:r>
      <w:r w:rsidRPr="00EE002C">
        <w:rPr>
          <w:bCs/>
        </w:rPr>
        <w:t xml:space="preserve">the Saint Regis Mohawk Tribe (“SRMT” or the “Tribe”), recently entered into a transaction </w:t>
      </w:r>
      <w:r w:rsidR="00CB0187">
        <w:rPr>
          <w:bCs/>
        </w:rPr>
        <w:t xml:space="preserve">pursuant to </w:t>
      </w:r>
      <w:r w:rsidRPr="00EE002C">
        <w:rPr>
          <w:bCs/>
        </w:rPr>
        <w:t xml:space="preserve">which the Tribe has gained ownership of </w:t>
      </w:r>
      <w:r>
        <w:rPr>
          <w:bCs/>
        </w:rPr>
        <w:t xml:space="preserve">certain </w:t>
      </w:r>
      <w:r w:rsidRPr="00EE002C">
        <w:rPr>
          <w:bCs/>
        </w:rPr>
        <w:t xml:space="preserve">patents in exchange for a lump sum </w:t>
      </w:r>
      <w:r>
        <w:rPr>
          <w:bCs/>
        </w:rPr>
        <w:t>and annual royalty payments</w:t>
      </w:r>
      <w:r w:rsidRPr="00EE002C">
        <w:rPr>
          <w:bCs/>
        </w:rPr>
        <w:t xml:space="preserve"> that will be used for essential governmental purposes; and </w:t>
      </w:r>
    </w:p>
    <w:p w:rsidR="002861C4" w:rsidRPr="00BD327B" w:rsidRDefault="002861C4" w:rsidP="003731FD">
      <w:pPr>
        <w:jc w:val="both"/>
      </w:pPr>
    </w:p>
    <w:p w:rsidR="002861C4" w:rsidRPr="00EE002C" w:rsidRDefault="002861C4" w:rsidP="00EE002C">
      <w:pPr>
        <w:tabs>
          <w:tab w:val="left" w:pos="-1440"/>
          <w:tab w:val="left" w:pos="-720"/>
          <w:tab w:val="left" w:pos="1800"/>
        </w:tabs>
        <w:ind w:left="1800" w:hanging="1350"/>
        <w:jc w:val="both"/>
        <w:rPr>
          <w:bCs/>
        </w:rPr>
      </w:pPr>
      <w:r w:rsidRPr="00EE002C">
        <w:rPr>
          <w:b/>
          <w:bCs/>
        </w:rPr>
        <w:t xml:space="preserve">WHEREAS, </w:t>
      </w:r>
      <w:r w:rsidR="00EE002C">
        <w:rPr>
          <w:b/>
          <w:bCs/>
        </w:rPr>
        <w:tab/>
      </w:r>
      <w:r w:rsidRPr="00EE002C">
        <w:rPr>
          <w:bCs/>
        </w:rPr>
        <w:t xml:space="preserve">the </w:t>
      </w:r>
      <w:r w:rsidR="00570856">
        <w:rPr>
          <w:bCs/>
        </w:rPr>
        <w:t>SRMT</w:t>
      </w:r>
      <w:r w:rsidRPr="00EE002C">
        <w:rPr>
          <w:bCs/>
        </w:rPr>
        <w:t xml:space="preserve"> has asserted its sovereign immunity from suit in a pending action regarding the validity of the </w:t>
      </w:r>
      <w:r w:rsidR="003731FD">
        <w:rPr>
          <w:bCs/>
        </w:rPr>
        <w:t xml:space="preserve">acquired </w:t>
      </w:r>
      <w:r w:rsidRPr="00EE002C">
        <w:rPr>
          <w:bCs/>
        </w:rPr>
        <w:t>patent</w:t>
      </w:r>
      <w:r w:rsidR="003731FD">
        <w:rPr>
          <w:bCs/>
        </w:rPr>
        <w:t>s</w:t>
      </w:r>
      <w:r w:rsidRPr="00EE002C">
        <w:rPr>
          <w:bCs/>
        </w:rPr>
        <w:t xml:space="preserve"> in </w:t>
      </w:r>
      <w:r w:rsidR="003731FD">
        <w:rPr>
          <w:bCs/>
          <w:i/>
        </w:rPr>
        <w:t>i</w:t>
      </w:r>
      <w:r w:rsidR="003731FD" w:rsidRPr="003731FD">
        <w:rPr>
          <w:bCs/>
          <w:i/>
        </w:rPr>
        <w:t xml:space="preserve">nter </w:t>
      </w:r>
      <w:proofErr w:type="spellStart"/>
      <w:r w:rsidR="003731FD">
        <w:rPr>
          <w:bCs/>
          <w:i/>
        </w:rPr>
        <w:t>p</w:t>
      </w:r>
      <w:r w:rsidR="003731FD" w:rsidRPr="003731FD">
        <w:rPr>
          <w:bCs/>
          <w:i/>
        </w:rPr>
        <w:t>artes</w:t>
      </w:r>
      <w:proofErr w:type="spellEnd"/>
      <w:r w:rsidR="003731FD" w:rsidRPr="003731FD">
        <w:rPr>
          <w:bCs/>
          <w:i/>
        </w:rPr>
        <w:t xml:space="preserve"> </w:t>
      </w:r>
      <w:r w:rsidR="003731FD">
        <w:rPr>
          <w:bCs/>
          <w:i/>
        </w:rPr>
        <w:t>r</w:t>
      </w:r>
      <w:r w:rsidR="003731FD" w:rsidRPr="003731FD">
        <w:rPr>
          <w:bCs/>
          <w:i/>
        </w:rPr>
        <w:t>eview</w:t>
      </w:r>
      <w:r w:rsidR="003731FD">
        <w:rPr>
          <w:bCs/>
        </w:rPr>
        <w:t xml:space="preserve"> </w:t>
      </w:r>
      <w:r w:rsidR="000024D0">
        <w:rPr>
          <w:bCs/>
        </w:rPr>
        <w:t xml:space="preserve">(“IPR”) </w:t>
      </w:r>
      <w:r w:rsidRPr="00EE002C">
        <w:rPr>
          <w:bCs/>
        </w:rPr>
        <w:t xml:space="preserve">proceedings before the </w:t>
      </w:r>
      <w:r w:rsidR="003731FD">
        <w:rPr>
          <w:bCs/>
        </w:rPr>
        <w:t xml:space="preserve">United States </w:t>
      </w:r>
      <w:r w:rsidRPr="00EE002C">
        <w:rPr>
          <w:bCs/>
        </w:rPr>
        <w:t>Patent Trial and Appeal Board; and</w:t>
      </w:r>
    </w:p>
    <w:p w:rsidR="002861C4" w:rsidRPr="00BD327B" w:rsidRDefault="002861C4" w:rsidP="002861C4">
      <w:pPr>
        <w:ind w:left="1260" w:firstLine="720"/>
        <w:jc w:val="both"/>
      </w:pPr>
    </w:p>
    <w:p w:rsidR="002861C4" w:rsidRDefault="002861C4" w:rsidP="00EE002C">
      <w:pPr>
        <w:tabs>
          <w:tab w:val="left" w:pos="-1440"/>
          <w:tab w:val="left" w:pos="-720"/>
          <w:tab w:val="left" w:pos="1800"/>
        </w:tabs>
        <w:ind w:left="1800" w:hanging="1350"/>
        <w:jc w:val="both"/>
        <w:rPr>
          <w:bCs/>
        </w:rPr>
      </w:pPr>
      <w:r w:rsidRPr="00EE002C">
        <w:rPr>
          <w:b/>
          <w:bCs/>
        </w:rPr>
        <w:t xml:space="preserve">WHEREAS, </w:t>
      </w:r>
      <w:r w:rsidR="00EE002C">
        <w:rPr>
          <w:b/>
          <w:bCs/>
        </w:rPr>
        <w:tab/>
      </w:r>
      <w:r w:rsidRPr="00EE002C">
        <w:rPr>
          <w:bCs/>
        </w:rPr>
        <w:t xml:space="preserve">unlike recent successful assertions of sovereign immunity by state entities </w:t>
      </w:r>
      <w:r w:rsidR="003731FD">
        <w:rPr>
          <w:bCs/>
        </w:rPr>
        <w:t xml:space="preserve">in </w:t>
      </w:r>
      <w:r w:rsidRPr="00EE002C">
        <w:rPr>
          <w:bCs/>
        </w:rPr>
        <w:t xml:space="preserve">the IPR proceedings, there has been considerable press coverage and reaction by Members of Congress to the Tribe’s transaction and use of sovereign immunity </w:t>
      </w:r>
      <w:r w:rsidRPr="00EE002C">
        <w:rPr>
          <w:bCs/>
        </w:rPr>
        <w:lastRenderedPageBreak/>
        <w:t>as a defense to IPR proceedings</w:t>
      </w:r>
      <w:r w:rsidR="0071044F">
        <w:rPr>
          <w:bCs/>
        </w:rPr>
        <w:t>; including requests for an investigation, scheduling of a hearing, and introduction of legislation that would partially abrogate tribal sovereign immunity</w:t>
      </w:r>
      <w:r w:rsidRPr="00EE002C">
        <w:rPr>
          <w:bCs/>
        </w:rPr>
        <w:t>; and</w:t>
      </w:r>
    </w:p>
    <w:p w:rsidR="00AE3C90" w:rsidRDefault="00AE3C90" w:rsidP="00EE002C">
      <w:pPr>
        <w:tabs>
          <w:tab w:val="left" w:pos="-1440"/>
          <w:tab w:val="left" w:pos="-720"/>
          <w:tab w:val="left" w:pos="1800"/>
        </w:tabs>
        <w:ind w:left="1800" w:hanging="1350"/>
        <w:jc w:val="both"/>
        <w:rPr>
          <w:b/>
          <w:bCs/>
        </w:rPr>
      </w:pPr>
    </w:p>
    <w:p w:rsidR="00AE3C90" w:rsidRDefault="00AE3C90" w:rsidP="003E4543">
      <w:pPr>
        <w:tabs>
          <w:tab w:val="left" w:pos="-1440"/>
          <w:tab w:val="left" w:pos="-720"/>
          <w:tab w:val="left" w:pos="1800"/>
        </w:tabs>
        <w:ind w:left="1800" w:hanging="1350"/>
        <w:jc w:val="both"/>
      </w:pPr>
      <w:r w:rsidRPr="00EE002C">
        <w:rPr>
          <w:b/>
          <w:bCs/>
        </w:rPr>
        <w:t xml:space="preserve">WHEREAS, </w:t>
      </w:r>
      <w:r>
        <w:rPr>
          <w:b/>
          <w:bCs/>
        </w:rPr>
        <w:tab/>
      </w:r>
      <w:r>
        <w:rPr>
          <w:bCs/>
        </w:rPr>
        <w:t xml:space="preserve">in December 2010, the United States recognized the rights of its First Peoples through its support of the United States Declaration on the Rights of Indigenous Peoples (UNDRIP), whose provisions and principles support and promote the purposes of this resolution; therefore, be it </w:t>
      </w:r>
    </w:p>
    <w:p w:rsidR="00AE3C90" w:rsidRPr="00BD327B" w:rsidRDefault="00AE3C90" w:rsidP="003E4543">
      <w:pPr>
        <w:tabs>
          <w:tab w:val="left" w:pos="-1440"/>
          <w:tab w:val="left" w:pos="-720"/>
          <w:tab w:val="left" w:pos="1800"/>
        </w:tabs>
        <w:ind w:left="1800" w:hanging="1350"/>
        <w:jc w:val="both"/>
      </w:pPr>
    </w:p>
    <w:p w:rsidR="002861C4" w:rsidRPr="00BD327B" w:rsidRDefault="002861C4" w:rsidP="00EE002C">
      <w:pPr>
        <w:tabs>
          <w:tab w:val="left" w:pos="-1440"/>
          <w:tab w:val="left" w:pos="-720"/>
          <w:tab w:val="left" w:pos="1800"/>
        </w:tabs>
        <w:ind w:left="1800" w:hanging="1350"/>
        <w:jc w:val="both"/>
      </w:pPr>
      <w:r w:rsidRPr="00BD327B">
        <w:rPr>
          <w:b/>
        </w:rPr>
        <w:t>RESOLVED,</w:t>
      </w:r>
      <w:r w:rsidRPr="00BD327B">
        <w:rPr>
          <w:i/>
        </w:rPr>
        <w:t xml:space="preserve"> </w:t>
      </w:r>
      <w:r w:rsidR="001E6B8F">
        <w:rPr>
          <w:i/>
        </w:rPr>
        <w:tab/>
      </w:r>
      <w:r w:rsidRPr="00BD327B">
        <w:t>that</w:t>
      </w:r>
      <w:r w:rsidRPr="00BD327B">
        <w:rPr>
          <w:i/>
        </w:rPr>
        <w:t xml:space="preserve"> </w:t>
      </w:r>
      <w:r w:rsidR="00CB0187">
        <w:t xml:space="preserve">USET </w:t>
      </w:r>
      <w:r w:rsidRPr="00BD327B">
        <w:t xml:space="preserve">strongly opposes any legislative attempt to abrogate tribal sovereign immunity in any proceeding or forum; and  </w:t>
      </w:r>
    </w:p>
    <w:p w:rsidR="002861C4" w:rsidRPr="00EE002C" w:rsidRDefault="002861C4" w:rsidP="00EE002C">
      <w:pPr>
        <w:tabs>
          <w:tab w:val="left" w:pos="-1440"/>
          <w:tab w:val="left" w:pos="-720"/>
          <w:tab w:val="left" w:pos="1800"/>
        </w:tabs>
        <w:ind w:left="1800" w:hanging="1350"/>
        <w:jc w:val="both"/>
        <w:rPr>
          <w:b/>
          <w:bCs/>
        </w:rPr>
      </w:pPr>
    </w:p>
    <w:p w:rsidR="002861C4" w:rsidRPr="00EE002C" w:rsidRDefault="002861C4" w:rsidP="00EE002C">
      <w:pPr>
        <w:tabs>
          <w:tab w:val="left" w:pos="-1440"/>
          <w:tab w:val="left" w:pos="-720"/>
          <w:tab w:val="left" w:pos="1800"/>
        </w:tabs>
        <w:ind w:left="1800" w:hanging="1350"/>
        <w:jc w:val="both"/>
        <w:rPr>
          <w:b/>
          <w:bCs/>
        </w:rPr>
      </w:pPr>
      <w:r w:rsidRPr="00EE002C">
        <w:rPr>
          <w:b/>
          <w:bCs/>
        </w:rPr>
        <w:t>RESOLVED,</w:t>
      </w:r>
      <w:r w:rsidR="001E6B8F">
        <w:rPr>
          <w:b/>
          <w:bCs/>
        </w:rPr>
        <w:tab/>
      </w:r>
      <w:r w:rsidRPr="00EE002C">
        <w:rPr>
          <w:bCs/>
        </w:rPr>
        <w:t xml:space="preserve">that </w:t>
      </w:r>
      <w:r w:rsidR="00CB0187">
        <w:rPr>
          <w:bCs/>
        </w:rPr>
        <w:t xml:space="preserve">USET </w:t>
      </w:r>
      <w:r w:rsidRPr="00EE002C">
        <w:rPr>
          <w:bCs/>
        </w:rPr>
        <w:t>urges Congress, as part of its review of the AIA and issues surrounding sovereign immunity from IPR or other Patent Trial and Appeal Board proceedings, to preserve tribal sovereign immunity in parity with state sovereign immunity in any future amendments of AIA; and</w:t>
      </w:r>
    </w:p>
    <w:p w:rsidR="002861C4" w:rsidRPr="00EE002C" w:rsidRDefault="002861C4" w:rsidP="00EE002C">
      <w:pPr>
        <w:tabs>
          <w:tab w:val="left" w:pos="-1440"/>
          <w:tab w:val="left" w:pos="-720"/>
          <w:tab w:val="left" w:pos="1800"/>
        </w:tabs>
        <w:ind w:left="1800" w:hanging="1350"/>
        <w:jc w:val="both"/>
        <w:rPr>
          <w:b/>
          <w:bCs/>
        </w:rPr>
      </w:pPr>
    </w:p>
    <w:p w:rsidR="002861C4" w:rsidRPr="00EE002C" w:rsidRDefault="002861C4" w:rsidP="00EE002C">
      <w:pPr>
        <w:tabs>
          <w:tab w:val="left" w:pos="-1440"/>
          <w:tab w:val="left" w:pos="-720"/>
          <w:tab w:val="left" w:pos="1800"/>
        </w:tabs>
        <w:ind w:left="1800" w:hanging="1350"/>
        <w:jc w:val="both"/>
        <w:rPr>
          <w:b/>
          <w:bCs/>
        </w:rPr>
      </w:pPr>
      <w:r w:rsidRPr="00EE002C">
        <w:rPr>
          <w:b/>
          <w:bCs/>
        </w:rPr>
        <w:t xml:space="preserve">RESOLVED, </w:t>
      </w:r>
      <w:r w:rsidR="001E6B8F">
        <w:rPr>
          <w:b/>
          <w:bCs/>
        </w:rPr>
        <w:tab/>
      </w:r>
      <w:r w:rsidRPr="00EE002C">
        <w:rPr>
          <w:bCs/>
        </w:rPr>
        <w:t xml:space="preserve">that </w:t>
      </w:r>
      <w:r w:rsidR="00CB0187">
        <w:rPr>
          <w:bCs/>
        </w:rPr>
        <w:t xml:space="preserve">USET </w:t>
      </w:r>
      <w:r w:rsidRPr="00EE002C">
        <w:rPr>
          <w:bCs/>
        </w:rPr>
        <w:t>will take all steps necessary and appropriate to oppose any legislation or effort to modify or abrogate tribal sovereign immunity</w:t>
      </w:r>
      <w:r w:rsidR="00CB0187">
        <w:rPr>
          <w:bCs/>
        </w:rPr>
        <w:t>.</w:t>
      </w:r>
    </w:p>
    <w:p w:rsidR="005C047A" w:rsidRDefault="000024D0">
      <w:pPr>
        <w:pStyle w:val="Heading1"/>
        <w:spacing w:before="228"/>
        <w:ind w:left="3984" w:right="3805"/>
      </w:pPr>
      <w:r>
        <w:t>CERTIFICATION</w:t>
      </w:r>
    </w:p>
    <w:p w:rsidR="005C047A" w:rsidRDefault="005C047A">
      <w:pPr>
        <w:pStyle w:val="BodyText"/>
        <w:spacing w:before="10"/>
        <w:rPr>
          <w:b/>
          <w:sz w:val="23"/>
        </w:rPr>
      </w:pPr>
    </w:p>
    <w:p w:rsidR="005C047A" w:rsidRDefault="000024D0">
      <w:pPr>
        <w:pStyle w:val="BodyText"/>
        <w:ind w:left="952" w:right="831"/>
      </w:pPr>
      <w:r>
        <w:t xml:space="preserve">This resolution was duly passed at the USET </w:t>
      </w:r>
      <w:r w:rsidR="002861C4">
        <w:t>Annual Meeting</w:t>
      </w:r>
      <w:r>
        <w:t xml:space="preserve">, at which a quorum was present, in </w:t>
      </w:r>
      <w:r w:rsidR="002861C4">
        <w:t>Cherokee</w:t>
      </w:r>
      <w:r>
        <w:t xml:space="preserve">, </w:t>
      </w:r>
      <w:r w:rsidR="002861C4">
        <w:t>North Caroline</w:t>
      </w:r>
      <w:r>
        <w:t xml:space="preserve">, </w:t>
      </w:r>
      <w:r w:rsidR="002861C4">
        <w:t>October 12, 2017</w:t>
      </w:r>
      <w:r>
        <w:t>.</w:t>
      </w:r>
    </w:p>
    <w:p w:rsidR="005C047A" w:rsidRDefault="005C047A">
      <w:pPr>
        <w:pStyle w:val="BodyText"/>
        <w:rPr>
          <w:sz w:val="20"/>
        </w:rPr>
      </w:pPr>
    </w:p>
    <w:p w:rsidR="005C047A" w:rsidRDefault="005C047A">
      <w:pPr>
        <w:pStyle w:val="BodyText"/>
        <w:rPr>
          <w:sz w:val="20"/>
        </w:rPr>
      </w:pPr>
    </w:p>
    <w:p w:rsidR="005C047A" w:rsidRDefault="002861C4">
      <w:pPr>
        <w:pStyle w:val="BodyText"/>
        <w:spacing w:before="3"/>
        <w:rPr>
          <w:sz w:val="23"/>
        </w:rPr>
      </w:pPr>
      <w:r>
        <w:rPr>
          <w:sz w:val="23"/>
        </w:rPr>
        <w:tab/>
      </w:r>
    </w:p>
    <w:p w:rsidR="002861C4" w:rsidRDefault="002861C4" w:rsidP="002861C4">
      <w:pPr>
        <w:pStyle w:val="BodyText"/>
        <w:tabs>
          <w:tab w:val="left" w:pos="5992"/>
        </w:tabs>
        <w:ind w:left="952"/>
      </w:pPr>
      <w:r>
        <w:t>______________________________</w:t>
      </w:r>
      <w:r>
        <w:tab/>
        <w:t>______________________________</w:t>
      </w:r>
      <w:r>
        <w:tab/>
      </w:r>
    </w:p>
    <w:p w:rsidR="005C047A" w:rsidRDefault="002861C4" w:rsidP="002861C4">
      <w:pPr>
        <w:pStyle w:val="BodyText"/>
        <w:tabs>
          <w:tab w:val="left" w:pos="5992"/>
        </w:tabs>
        <w:ind w:left="952"/>
      </w:pPr>
      <w:r>
        <w:t>Chief Kirk Francis, Sr.</w:t>
      </w:r>
      <w:r w:rsidR="000024D0">
        <w:t>,</w:t>
      </w:r>
      <w:r w:rsidR="000024D0">
        <w:rPr>
          <w:spacing w:val="-4"/>
        </w:rPr>
        <w:t xml:space="preserve"> </w:t>
      </w:r>
      <w:r w:rsidR="000024D0">
        <w:t>President</w:t>
      </w:r>
      <w:r w:rsidR="000024D0">
        <w:tab/>
      </w:r>
      <w:r w:rsidR="00BD327B">
        <w:t>Chief Lynn Malerba</w:t>
      </w:r>
      <w:r w:rsidR="000024D0">
        <w:t>,</w:t>
      </w:r>
      <w:r w:rsidR="000024D0">
        <w:rPr>
          <w:spacing w:val="-10"/>
        </w:rPr>
        <w:t xml:space="preserve"> </w:t>
      </w:r>
      <w:r w:rsidR="000024D0">
        <w:t>Secretary</w:t>
      </w:r>
    </w:p>
    <w:p w:rsidR="005C047A" w:rsidRDefault="000024D0" w:rsidP="002861C4">
      <w:pPr>
        <w:pStyle w:val="BodyText"/>
        <w:tabs>
          <w:tab w:val="left" w:pos="5992"/>
        </w:tabs>
        <w:ind w:left="952"/>
      </w:pPr>
      <w:r>
        <w:t>United South and Eastern</w:t>
      </w:r>
      <w:r>
        <w:rPr>
          <w:spacing w:val="-6"/>
        </w:rPr>
        <w:t xml:space="preserve"> </w:t>
      </w:r>
      <w:r>
        <w:t>Tribes,</w:t>
      </w:r>
      <w:r>
        <w:rPr>
          <w:spacing w:val="-2"/>
        </w:rPr>
        <w:t xml:space="preserve"> </w:t>
      </w:r>
      <w:r>
        <w:t>Inc.</w:t>
      </w:r>
      <w:r>
        <w:tab/>
        <w:t>United South and Eastern Tribes,</w:t>
      </w:r>
      <w:r>
        <w:rPr>
          <w:spacing w:val="-13"/>
        </w:rPr>
        <w:t xml:space="preserve"> </w:t>
      </w:r>
      <w:r>
        <w:t>Inc.</w:t>
      </w:r>
    </w:p>
    <w:p w:rsidR="005C047A" w:rsidRDefault="005C047A">
      <w:pPr>
        <w:pStyle w:val="BodyText"/>
        <w:rPr>
          <w:sz w:val="20"/>
        </w:rPr>
      </w:pPr>
    </w:p>
    <w:p w:rsidR="00BD327B" w:rsidRDefault="00BD327B">
      <w:pPr>
        <w:pStyle w:val="BodyText"/>
        <w:rPr>
          <w:sz w:val="20"/>
        </w:rPr>
      </w:pPr>
    </w:p>
    <w:p w:rsidR="00BD327B" w:rsidRDefault="00BD327B">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rPr>
          <w:sz w:val="20"/>
        </w:rPr>
      </w:pPr>
    </w:p>
    <w:p w:rsidR="005C047A" w:rsidRDefault="005C047A">
      <w:pPr>
        <w:pStyle w:val="BodyText"/>
        <w:spacing w:before="1"/>
        <w:rPr>
          <w:sz w:val="21"/>
        </w:rPr>
      </w:pPr>
    </w:p>
    <w:p w:rsidR="005C047A" w:rsidRPr="00463D43" w:rsidRDefault="000024D0" w:rsidP="00463D43">
      <w:pPr>
        <w:spacing w:before="101"/>
        <w:ind w:left="3985" w:right="3805"/>
        <w:jc w:val="center"/>
        <w:rPr>
          <w:rFonts w:ascii="Verdana" w:hAnsi="Verdana"/>
          <w:i/>
          <w:sz w:val="25"/>
        </w:rPr>
      </w:pPr>
      <w:r>
        <w:rPr>
          <w:rFonts w:ascii="Verdana" w:hAnsi="Verdana"/>
          <w:i/>
          <w:color w:val="C00000"/>
          <w:w w:val="85"/>
          <w:sz w:val="25"/>
        </w:rPr>
        <w:t>“Because there is strength in Unity”</w:t>
      </w:r>
      <w:r w:rsidR="00CB0187">
        <w:rPr>
          <w:noProof/>
        </w:rPr>
        <mc:AlternateContent>
          <mc:Choice Requires="wps">
            <w:drawing>
              <wp:anchor distT="0" distB="0" distL="114300" distR="114300" simplePos="0" relativeHeight="1096" behindDoc="0" locked="0" layoutInCell="1" allowOverlap="1">
                <wp:simplePos x="0" y="0"/>
                <wp:positionH relativeFrom="page">
                  <wp:posOffset>209550</wp:posOffset>
                </wp:positionH>
                <wp:positionV relativeFrom="paragraph">
                  <wp:posOffset>109855</wp:posOffset>
                </wp:positionV>
                <wp:extent cx="7248525"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15875">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3F22"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pt,8.65pt" to="58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" strokecolor="#c00000" strokeweight="1.25pt">
                <w10:wrap anchorx="page"/>
              </v:line>
            </w:pict>
          </mc:Fallback>
        </mc:AlternateContent>
      </w:r>
    </w:p>
    <w:sectPr w:rsidR="005C047A" w:rsidRPr="00463D43" w:rsidSect="002861C4">
      <w:type w:val="continuous"/>
      <w:pgSz w:w="12240" w:h="15840"/>
      <w:pgMar w:top="500" w:right="38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7A"/>
    <w:rsid w:val="000024D0"/>
    <w:rsid w:val="001B63F5"/>
    <w:rsid w:val="001C6ECF"/>
    <w:rsid w:val="001E6B8F"/>
    <w:rsid w:val="001F1B28"/>
    <w:rsid w:val="00265450"/>
    <w:rsid w:val="002861C4"/>
    <w:rsid w:val="003731FD"/>
    <w:rsid w:val="003E4543"/>
    <w:rsid w:val="00463D43"/>
    <w:rsid w:val="00570856"/>
    <w:rsid w:val="005C047A"/>
    <w:rsid w:val="00653E6F"/>
    <w:rsid w:val="0071044F"/>
    <w:rsid w:val="007E680A"/>
    <w:rsid w:val="0082140F"/>
    <w:rsid w:val="009B76DF"/>
    <w:rsid w:val="00AE3C90"/>
    <w:rsid w:val="00BC0C0B"/>
    <w:rsid w:val="00BD327B"/>
    <w:rsid w:val="00CB0187"/>
    <w:rsid w:val="00DB29E1"/>
    <w:rsid w:val="00E22BDE"/>
    <w:rsid w:val="00EE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4728C-B732-4D47-922E-1273A465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00"/>
      <w:ind w:left="315"/>
      <w:jc w:val="center"/>
      <w:outlineLvl w:val="0"/>
    </w:pPr>
    <w:rPr>
      <w:b/>
      <w:bCs/>
      <w:sz w:val="24"/>
      <w:szCs w:val="24"/>
    </w:rPr>
  </w:style>
  <w:style w:type="paragraph" w:styleId="Heading2">
    <w:name w:val="heading 2"/>
    <w:basedOn w:val="Normal"/>
    <w:next w:val="Normal"/>
    <w:link w:val="Heading2Char"/>
    <w:uiPriority w:val="9"/>
    <w:semiHidden/>
    <w:unhideWhenUsed/>
    <w:qFormat/>
    <w:rsid w:val="00BD32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BD327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DB2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9E1"/>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8582">
      <w:bodyDiv w:val="1"/>
      <w:marLeft w:val="0"/>
      <w:marRight w:val="0"/>
      <w:marTop w:val="0"/>
      <w:marBottom w:val="0"/>
      <w:divBdr>
        <w:top w:val="none" w:sz="0" w:space="0" w:color="auto"/>
        <w:left w:val="none" w:sz="0" w:space="0" w:color="auto"/>
        <w:bottom w:val="none" w:sz="0" w:space="0" w:color="auto"/>
        <w:right w:val="none" w:sz="0" w:space="0" w:color="auto"/>
      </w:divBdr>
    </w:div>
    <w:div w:id="1903179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cleasure</dc:creator>
  <cp:lastModifiedBy>Lively_Robert</cp:lastModifiedBy>
  <cp:revision>2</cp:revision>
  <dcterms:created xsi:type="dcterms:W3CDTF">2017-10-13T12:55:00Z</dcterms:created>
  <dcterms:modified xsi:type="dcterms:W3CDTF">2017-10-13T12:55:00Z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2015-02-19T00:00:00Z</vt:filetime>
  </property>
  <property fmtid="{D5CDD505-2E9C-101B-9397-08002B2CF9AE}" pid="3" name="Creator">
    <vt:lpwstr>Microsoft® Word 2013</vt:lpwstr>
  </property>
  <property fmtid="{D5CDD505-2E9C-101B-9397-08002B2CF9AE}" pid="4" name="LastSaved">
    <vt:filetime>2017-10-11T00:00:00Z</vt:filetime>
  </property>
</Properties>
</file>