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53C" w:rsidRPr="0073437D" w:rsidRDefault="0073437D" w:rsidP="0073437D">
      <w:pPr>
        <w:jc w:val="center"/>
        <w:rPr>
          <w:b/>
          <w:u w:val="single"/>
        </w:rPr>
      </w:pPr>
      <w:r w:rsidRPr="0073437D">
        <w:rPr>
          <w:b/>
          <w:u w:val="single"/>
        </w:rPr>
        <w:t>STRONGER 2019</w:t>
      </w:r>
      <w:r w:rsidR="005629D0">
        <w:rPr>
          <w:b/>
          <w:u w:val="single"/>
        </w:rPr>
        <w:t xml:space="preserve"> Changes</w:t>
      </w:r>
    </w:p>
    <w:p w:rsidR="0073437D" w:rsidRDefault="0073437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206"/>
        <w:gridCol w:w="4206"/>
      </w:tblGrid>
      <w:tr w:rsidR="0073437D" w:rsidRPr="0073437D" w:rsidTr="0073437D">
        <w:tc>
          <w:tcPr>
            <w:tcW w:w="4538" w:type="dxa"/>
          </w:tcPr>
          <w:p w:rsidR="0073437D" w:rsidRPr="0073437D" w:rsidRDefault="0073437D" w:rsidP="0073437D">
            <w:pPr>
              <w:jc w:val="center"/>
              <w:rPr>
                <w:b/>
              </w:rPr>
            </w:pPr>
            <w:r w:rsidRPr="0073437D">
              <w:rPr>
                <w:b/>
              </w:rPr>
              <w:t>STRONGER 2017 Provision</w:t>
            </w:r>
          </w:p>
        </w:tc>
        <w:tc>
          <w:tcPr>
            <w:tcW w:w="4206" w:type="dxa"/>
          </w:tcPr>
          <w:p w:rsidR="0073437D" w:rsidRPr="0073437D" w:rsidRDefault="005629D0" w:rsidP="0073437D">
            <w:pPr>
              <w:jc w:val="center"/>
              <w:rPr>
                <w:b/>
              </w:rPr>
            </w:pPr>
            <w:r>
              <w:rPr>
                <w:b/>
              </w:rPr>
              <w:t>Developments</w:t>
            </w:r>
          </w:p>
        </w:tc>
        <w:tc>
          <w:tcPr>
            <w:tcW w:w="4206" w:type="dxa"/>
          </w:tcPr>
          <w:p w:rsidR="0073437D" w:rsidRPr="0073437D" w:rsidRDefault="0073437D" w:rsidP="002D7CFF">
            <w:pPr>
              <w:jc w:val="center"/>
              <w:rPr>
                <w:b/>
              </w:rPr>
            </w:pPr>
            <w:r w:rsidRPr="0073437D">
              <w:rPr>
                <w:b/>
              </w:rPr>
              <w:t xml:space="preserve">STRONGER 2019 </w:t>
            </w:r>
          </w:p>
        </w:tc>
      </w:tr>
      <w:tr w:rsidR="00A56F56" w:rsidTr="0073437D">
        <w:tc>
          <w:tcPr>
            <w:tcW w:w="4538" w:type="dxa"/>
          </w:tcPr>
          <w:p w:rsidR="00A56F56" w:rsidRDefault="00A56F56" w:rsidP="00F049D2">
            <w:r>
              <w:t xml:space="preserve">PTAB – </w:t>
            </w:r>
            <w:r w:rsidR="00F049D2">
              <w:t>R</w:t>
            </w:r>
            <w:r>
              <w:t>ight to an immediate interlocutory appeal from aspects of the institution decisions not directly related to the “reasonable likelihood” that the asserted prior art would rende</w:t>
            </w:r>
            <w:r w:rsidR="00BE4500">
              <w:t>r the patent invalidate</w:t>
            </w:r>
            <w:r w:rsidR="00F049D2">
              <w:t xml:space="preserve"> (e.g., one-year filing deadline)</w:t>
            </w:r>
          </w:p>
        </w:tc>
        <w:tc>
          <w:tcPr>
            <w:tcW w:w="4206" w:type="dxa"/>
          </w:tcPr>
          <w:p w:rsidR="00A56F56" w:rsidRDefault="00E302B9" w:rsidP="00F049D2">
            <w:r>
              <w:t xml:space="preserve">At least some of these non-merits institution decisions are now reviewable on an appeal of the final written decision after </w:t>
            </w:r>
            <w:r w:rsidRPr="0052768A">
              <w:rPr>
                <w:i/>
              </w:rPr>
              <w:t>Wi</w:t>
            </w:r>
            <w:r w:rsidR="0052768A" w:rsidRPr="0052768A">
              <w:rPr>
                <w:i/>
              </w:rPr>
              <w:t>-</w:t>
            </w:r>
            <w:r w:rsidRPr="0052768A">
              <w:rPr>
                <w:i/>
              </w:rPr>
              <w:t>Fi One v. Broadcom</w:t>
            </w:r>
            <w:r>
              <w:t xml:space="preserve"> </w:t>
            </w:r>
            <w:r w:rsidR="0052768A">
              <w:t>(Fed. Cir. 2018) (</w:t>
            </w:r>
            <w:proofErr w:type="spellStart"/>
            <w:r w:rsidR="0052768A">
              <w:t>en</w:t>
            </w:r>
            <w:proofErr w:type="spellEnd"/>
            <w:r w:rsidR="0052768A">
              <w:t xml:space="preserve"> banc)</w:t>
            </w:r>
            <w:r w:rsidR="00F049D2">
              <w:t>, and</w:t>
            </w:r>
            <w:r>
              <w:t xml:space="preserve"> the interlocutory approach runs the risk of flooding the Fed</w:t>
            </w:r>
            <w:r w:rsidR="005629D0">
              <w:t xml:space="preserve">eral Circuit and decreasing </w:t>
            </w:r>
            <w:r>
              <w:t>overall efficiency.</w:t>
            </w:r>
          </w:p>
        </w:tc>
        <w:tc>
          <w:tcPr>
            <w:tcW w:w="4206" w:type="dxa"/>
          </w:tcPr>
          <w:p w:rsidR="00A56F56" w:rsidRDefault="00E302B9" w:rsidP="0023090A">
            <w:r>
              <w:t>Drop</w:t>
            </w:r>
            <w:r w:rsidR="005629D0">
              <w:t>ped interlocutory appeals but codified</w:t>
            </w:r>
            <w:r w:rsidR="00DE68CE">
              <w:t xml:space="preserve"> </w:t>
            </w:r>
            <w:proofErr w:type="spellStart"/>
            <w:r w:rsidR="00DE68CE" w:rsidRPr="00DE68CE">
              <w:rPr>
                <w:i/>
              </w:rPr>
              <w:t>WiFi</w:t>
            </w:r>
            <w:proofErr w:type="spellEnd"/>
            <w:r w:rsidR="00DE68CE" w:rsidRPr="00DE68CE">
              <w:rPr>
                <w:i/>
              </w:rPr>
              <w:t xml:space="preserve"> One</w:t>
            </w:r>
            <w:r w:rsidR="0023090A">
              <w:t xml:space="preserve"> –</w:t>
            </w:r>
            <w:r w:rsidR="00DE68CE">
              <w:t xml:space="preserve"> important because STRONGER adds add</w:t>
            </w:r>
            <w:bookmarkStart w:id="0" w:name="_GoBack"/>
            <w:bookmarkEnd w:id="0"/>
            <w:r w:rsidR="00DE68CE">
              <w:t xml:space="preserve">itional limitations at the institution stage, and these should be subject to judicial review.  </w:t>
            </w:r>
          </w:p>
        </w:tc>
      </w:tr>
      <w:tr w:rsidR="0052768A" w:rsidTr="0073437D">
        <w:tc>
          <w:tcPr>
            <w:tcW w:w="4538" w:type="dxa"/>
          </w:tcPr>
          <w:p w:rsidR="0052768A" w:rsidRDefault="001E40B2" w:rsidP="00E302B9">
            <w:r>
              <w:br w:type="page"/>
            </w:r>
            <w:r w:rsidR="0052768A">
              <w:t>PTAB – Priority of federal court validity determinations</w:t>
            </w:r>
          </w:p>
        </w:tc>
        <w:tc>
          <w:tcPr>
            <w:tcW w:w="4206" w:type="dxa"/>
          </w:tcPr>
          <w:p w:rsidR="0052768A" w:rsidRDefault="0052768A" w:rsidP="00E302B9"/>
        </w:tc>
        <w:tc>
          <w:tcPr>
            <w:tcW w:w="4206" w:type="dxa"/>
          </w:tcPr>
          <w:p w:rsidR="0052768A" w:rsidRDefault="005629D0" w:rsidP="00A56F56">
            <w:r>
              <w:t>Rewritten</w:t>
            </w:r>
            <w:r w:rsidR="0092583B">
              <w:t xml:space="preserve"> for clarity</w:t>
            </w:r>
          </w:p>
        </w:tc>
      </w:tr>
      <w:tr w:rsidR="0052768A" w:rsidTr="0073437D">
        <w:tc>
          <w:tcPr>
            <w:tcW w:w="4538" w:type="dxa"/>
          </w:tcPr>
          <w:p w:rsidR="0052768A" w:rsidRDefault="0052768A" w:rsidP="00E302B9">
            <w:r>
              <w:t>PTAB – Amendment of claims</w:t>
            </w:r>
          </w:p>
        </w:tc>
        <w:tc>
          <w:tcPr>
            <w:tcW w:w="4206" w:type="dxa"/>
          </w:tcPr>
          <w:p w:rsidR="0052768A" w:rsidRDefault="005629D0" w:rsidP="005629D0">
            <w:r>
              <w:t xml:space="preserve">The </w:t>
            </w:r>
            <w:r w:rsidR="0052768A">
              <w:t xml:space="preserve">USPTO </w:t>
            </w:r>
            <w:r>
              <w:t xml:space="preserve">announced a pilot program concerning motions to amend </w:t>
            </w:r>
            <w:r w:rsidR="0052768A">
              <w:t xml:space="preserve">on </w:t>
            </w:r>
            <w:r>
              <w:t>March 15, 2019</w:t>
            </w:r>
            <w:r w:rsidR="0052768A">
              <w:t>.</w:t>
            </w:r>
            <w:r>
              <w:t xml:space="preserve">  The pilot program provides patent owners with </w:t>
            </w:r>
            <w:r w:rsidR="00B319DB">
              <w:t>two options not previously available – preliminary guidance from the PTAB and a revised motion to amend.</w:t>
            </w:r>
          </w:p>
        </w:tc>
        <w:tc>
          <w:tcPr>
            <w:tcW w:w="4206" w:type="dxa"/>
          </w:tcPr>
          <w:p w:rsidR="0052768A" w:rsidRDefault="005629D0" w:rsidP="005629D0">
            <w:r>
              <w:t>Dropped</w:t>
            </w:r>
            <w:r w:rsidR="008C206A">
              <w:t xml:space="preserve"> </w:t>
            </w:r>
            <w:r>
              <w:t>in view of</w:t>
            </w:r>
            <w:r w:rsidR="008C206A">
              <w:t xml:space="preserve"> </w:t>
            </w:r>
            <w:r>
              <w:t xml:space="preserve">the </w:t>
            </w:r>
            <w:r w:rsidR="008C206A">
              <w:t xml:space="preserve">USPTO’s </w:t>
            </w:r>
            <w:r>
              <w:t>pilot program</w:t>
            </w:r>
            <w:r w:rsidR="00F049D2">
              <w:t>.</w:t>
            </w:r>
          </w:p>
        </w:tc>
      </w:tr>
      <w:tr w:rsidR="008C206A" w:rsidTr="00043A2C">
        <w:tc>
          <w:tcPr>
            <w:tcW w:w="4538" w:type="dxa"/>
          </w:tcPr>
          <w:p w:rsidR="008C206A" w:rsidRPr="00691CEB" w:rsidRDefault="001E40B2" w:rsidP="00B319DB">
            <w:r w:rsidRPr="00B319DB">
              <w:br w:type="page"/>
            </w:r>
            <w:r w:rsidR="008C206A" w:rsidRPr="00B319DB">
              <w:t>Litigation reform</w:t>
            </w:r>
            <w:r w:rsidR="008C206A">
              <w:rPr>
                <w:b/>
              </w:rPr>
              <w:t xml:space="preserve"> – </w:t>
            </w:r>
            <w:r w:rsidR="008C206A" w:rsidRPr="00B319DB">
              <w:t>Standard for proving induced infringement</w:t>
            </w:r>
            <w:r w:rsidR="008C206A">
              <w:t xml:space="preserve"> </w:t>
            </w:r>
          </w:p>
        </w:tc>
        <w:tc>
          <w:tcPr>
            <w:tcW w:w="4206" w:type="dxa"/>
          </w:tcPr>
          <w:p w:rsidR="008C206A" w:rsidRDefault="008C206A" w:rsidP="00B319DB"/>
        </w:tc>
        <w:tc>
          <w:tcPr>
            <w:tcW w:w="4206" w:type="dxa"/>
          </w:tcPr>
          <w:p w:rsidR="008C206A" w:rsidRDefault="008C206A" w:rsidP="00B319DB">
            <w:r>
              <w:t>Eliminate</w:t>
            </w:r>
            <w:r w:rsidR="00B319DB">
              <w:t>d</w:t>
            </w:r>
            <w:r>
              <w:t xml:space="preserve"> – </w:t>
            </w:r>
            <w:r w:rsidR="00B319DB">
              <w:t>P</w:t>
            </w:r>
            <w:r>
              <w:t xml:space="preserve">otentially move litigation reforms </w:t>
            </w:r>
            <w:r w:rsidR="00B319DB">
              <w:t xml:space="preserve">(other than injunctive relief) </w:t>
            </w:r>
            <w:r w:rsidR="0092583B">
              <w:t>to a new bill</w:t>
            </w:r>
            <w:r w:rsidR="00F049D2">
              <w:t>.</w:t>
            </w:r>
          </w:p>
        </w:tc>
      </w:tr>
      <w:tr w:rsidR="008C206A" w:rsidTr="00043A2C">
        <w:tc>
          <w:tcPr>
            <w:tcW w:w="4538" w:type="dxa"/>
          </w:tcPr>
          <w:p w:rsidR="008C206A" w:rsidRPr="00B319DB" w:rsidRDefault="008C206A" w:rsidP="00043A2C">
            <w:r w:rsidRPr="00B319DB">
              <w:t>Litigation reform – New liability for exporting designs, where the ultimate product would infringe a U.S. patent</w:t>
            </w:r>
          </w:p>
        </w:tc>
        <w:tc>
          <w:tcPr>
            <w:tcW w:w="4206" w:type="dxa"/>
          </w:tcPr>
          <w:p w:rsidR="008C206A" w:rsidRPr="00691CEB" w:rsidRDefault="00DD56F2" w:rsidP="008F0C15">
            <w:pPr>
              <w:rPr>
                <w:highlight w:val="yellow"/>
              </w:rPr>
            </w:pPr>
            <w:proofErr w:type="spellStart"/>
            <w:r>
              <w:rPr>
                <w:i/>
              </w:rPr>
              <w:t>Western</w:t>
            </w:r>
            <w:r w:rsidR="008C206A" w:rsidRPr="00DE24BF">
              <w:rPr>
                <w:i/>
              </w:rPr>
              <w:t>Geco</w:t>
            </w:r>
            <w:proofErr w:type="spellEnd"/>
            <w:r w:rsidR="008C206A" w:rsidRPr="00DE24BF">
              <w:t xml:space="preserve"> addressed damages under the same statutory provision (35 U.S.C. </w:t>
            </w:r>
            <w:r w:rsidR="008C206A" w:rsidRPr="00DE24BF">
              <w:rPr>
                <w:rFonts w:cs="Times New Roman"/>
              </w:rPr>
              <w:t>§</w:t>
            </w:r>
            <w:r w:rsidR="00B319DB">
              <w:t xml:space="preserve"> 271(f)), potentially </w:t>
            </w:r>
            <w:r w:rsidR="008F0C15">
              <w:t>giving this provision too much</w:t>
            </w:r>
            <w:r w:rsidR="008C206A" w:rsidRPr="00DE24BF">
              <w:t xml:space="preserve"> extraterritorial reach.</w:t>
            </w:r>
          </w:p>
        </w:tc>
        <w:tc>
          <w:tcPr>
            <w:tcW w:w="4206" w:type="dxa"/>
          </w:tcPr>
          <w:p w:rsidR="008C206A" w:rsidRDefault="00DB48E6" w:rsidP="00DB48E6">
            <w:r>
              <w:t>Eliminate</w:t>
            </w:r>
            <w:r w:rsidR="008F0C15">
              <w:t>d</w:t>
            </w:r>
          </w:p>
        </w:tc>
      </w:tr>
      <w:tr w:rsidR="008C206A" w:rsidTr="00043A2C">
        <w:tc>
          <w:tcPr>
            <w:tcW w:w="4538" w:type="dxa"/>
          </w:tcPr>
          <w:p w:rsidR="008C206A" w:rsidRPr="008F0C15" w:rsidRDefault="008C206A" w:rsidP="008F0C15">
            <w:r w:rsidRPr="008F0C15">
              <w:t xml:space="preserve">Litigation reform – </w:t>
            </w:r>
            <w:r w:rsidR="008F0C15">
              <w:t>Fix</w:t>
            </w:r>
            <w:r w:rsidRPr="008F0C15">
              <w:t xml:space="preserve"> divided infringement of method claims (by allowing more than one entity to perform all the steps)</w:t>
            </w:r>
          </w:p>
        </w:tc>
        <w:tc>
          <w:tcPr>
            <w:tcW w:w="4206" w:type="dxa"/>
          </w:tcPr>
          <w:p w:rsidR="008C206A" w:rsidRPr="009743A4" w:rsidRDefault="008F0C15" w:rsidP="00043A2C">
            <w:r>
              <w:t>We understand that s</w:t>
            </w:r>
            <w:r w:rsidR="00DB48E6">
              <w:t>ome case law has helped with the problems this line of case law created for the life sciences.</w:t>
            </w:r>
          </w:p>
        </w:tc>
        <w:tc>
          <w:tcPr>
            <w:tcW w:w="4206" w:type="dxa"/>
          </w:tcPr>
          <w:p w:rsidR="008C206A" w:rsidRDefault="00C13D55" w:rsidP="00043A2C">
            <w:r>
              <w:t>Eliminated – Potentially move litigation reforms (other than i</w:t>
            </w:r>
            <w:r w:rsidR="0092583B">
              <w:t>njunctive relief) to a new bill</w:t>
            </w:r>
            <w:r w:rsidR="00F049D2">
              <w:t>.</w:t>
            </w:r>
          </w:p>
        </w:tc>
      </w:tr>
    </w:tbl>
    <w:p w:rsidR="001E40B2" w:rsidRDefault="001E40B2">
      <w:pPr>
        <w:spacing w:after="160" w:line="259" w:lineRule="auto"/>
        <w:rPr>
          <w:b/>
        </w:rPr>
      </w:pPr>
    </w:p>
    <w:sectPr w:rsidR="001E40B2" w:rsidSect="007343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129" w:rsidRDefault="00703129" w:rsidP="00703129">
      <w:r>
        <w:separator/>
      </w:r>
    </w:p>
  </w:endnote>
  <w:endnote w:type="continuationSeparator" w:id="0">
    <w:p w:rsidR="00703129" w:rsidRDefault="00703129" w:rsidP="0070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29" w:rsidRDefault="00703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29" w:rsidRDefault="00703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29" w:rsidRDefault="00703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129" w:rsidRDefault="00703129" w:rsidP="00703129">
      <w:r>
        <w:separator/>
      </w:r>
    </w:p>
  </w:footnote>
  <w:footnote w:type="continuationSeparator" w:id="0">
    <w:p w:rsidR="00703129" w:rsidRDefault="00703129" w:rsidP="00703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29" w:rsidRDefault="00703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29" w:rsidRDefault="007031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129" w:rsidRDefault="007031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7D3"/>
    <w:multiLevelType w:val="hybridMultilevel"/>
    <w:tmpl w:val="7D84A0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55806"/>
    <w:multiLevelType w:val="hybridMultilevel"/>
    <w:tmpl w:val="9DC28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624AF"/>
    <w:multiLevelType w:val="hybridMultilevel"/>
    <w:tmpl w:val="0F6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250D3"/>
    <w:multiLevelType w:val="hybridMultilevel"/>
    <w:tmpl w:val="001EE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073A11"/>
    <w:multiLevelType w:val="hybridMultilevel"/>
    <w:tmpl w:val="D946F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AA31DE"/>
    <w:multiLevelType w:val="hybridMultilevel"/>
    <w:tmpl w:val="83B2C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37D"/>
    <w:rsid w:val="000C627D"/>
    <w:rsid w:val="00102BEE"/>
    <w:rsid w:val="001E40B2"/>
    <w:rsid w:val="0023090A"/>
    <w:rsid w:val="00280F09"/>
    <w:rsid w:val="002C3738"/>
    <w:rsid w:val="002D7CFF"/>
    <w:rsid w:val="002E7BF1"/>
    <w:rsid w:val="00361611"/>
    <w:rsid w:val="003B1D48"/>
    <w:rsid w:val="003E31DA"/>
    <w:rsid w:val="003F5769"/>
    <w:rsid w:val="00481B1E"/>
    <w:rsid w:val="004A4586"/>
    <w:rsid w:val="0051317C"/>
    <w:rsid w:val="0052768A"/>
    <w:rsid w:val="005629D0"/>
    <w:rsid w:val="005B491D"/>
    <w:rsid w:val="00630015"/>
    <w:rsid w:val="0065534F"/>
    <w:rsid w:val="00691CEB"/>
    <w:rsid w:val="00703129"/>
    <w:rsid w:val="0073437D"/>
    <w:rsid w:val="00765772"/>
    <w:rsid w:val="00802145"/>
    <w:rsid w:val="0087211A"/>
    <w:rsid w:val="008C206A"/>
    <w:rsid w:val="008F0C15"/>
    <w:rsid w:val="0092583B"/>
    <w:rsid w:val="009743A4"/>
    <w:rsid w:val="009B5903"/>
    <w:rsid w:val="00A22877"/>
    <w:rsid w:val="00A56F56"/>
    <w:rsid w:val="00A907A0"/>
    <w:rsid w:val="00B319DB"/>
    <w:rsid w:val="00B60490"/>
    <w:rsid w:val="00BA7225"/>
    <w:rsid w:val="00BE4500"/>
    <w:rsid w:val="00C13D55"/>
    <w:rsid w:val="00CA51FF"/>
    <w:rsid w:val="00CE2B5A"/>
    <w:rsid w:val="00D05540"/>
    <w:rsid w:val="00D13E2A"/>
    <w:rsid w:val="00D35437"/>
    <w:rsid w:val="00D55AC2"/>
    <w:rsid w:val="00DB48E6"/>
    <w:rsid w:val="00DD56F2"/>
    <w:rsid w:val="00DE24BF"/>
    <w:rsid w:val="00DE68CE"/>
    <w:rsid w:val="00DF530D"/>
    <w:rsid w:val="00E302B9"/>
    <w:rsid w:val="00EF78FE"/>
    <w:rsid w:val="00F0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58530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90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4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"/>
    <w:qFormat/>
    <w:rsid w:val="00A56F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7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77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031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12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03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12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CB567-46EA-4B32-ADA6-30B5475E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2019-07-02T13:12:00Z</dcterms:created>
  <dcterms:modified xsi:type="dcterms:W3CDTF">2019-07-02T14:07:00Z</dcterms:modified>
</cp:coreProperties>
</file>